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4" w:type="dxa"/>
        <w:tblInd w:w="-792" w:type="dxa"/>
        <w:tblLook w:val="01E0" w:firstRow="1" w:lastRow="1" w:firstColumn="1" w:lastColumn="1" w:noHBand="0" w:noVBand="0"/>
      </w:tblPr>
      <w:tblGrid>
        <w:gridCol w:w="10642"/>
        <w:gridCol w:w="222"/>
      </w:tblGrid>
      <w:tr w:rsidR="009C0646" w:rsidRPr="00137427" w:rsidTr="00E42E9E">
        <w:trPr>
          <w:trHeight w:val="1437"/>
        </w:trPr>
        <w:tc>
          <w:tcPr>
            <w:tcW w:w="5388" w:type="dxa"/>
          </w:tcPr>
          <w:tbl>
            <w:tblPr>
              <w:tblW w:w="9923" w:type="dxa"/>
              <w:tblInd w:w="503" w:type="dxa"/>
              <w:tblLook w:val="0000" w:firstRow="0" w:lastRow="0" w:firstColumn="0" w:lastColumn="0" w:noHBand="0" w:noVBand="0"/>
            </w:tblPr>
            <w:tblGrid>
              <w:gridCol w:w="4253"/>
              <w:gridCol w:w="5670"/>
            </w:tblGrid>
            <w:tr w:rsidR="003B4399" w:rsidRPr="00137427" w:rsidTr="003B4399">
              <w:trPr>
                <w:trHeight w:val="1843"/>
              </w:trPr>
              <w:tc>
                <w:tcPr>
                  <w:tcW w:w="4253" w:type="dxa"/>
                </w:tcPr>
                <w:p w:rsidR="003B4399" w:rsidRDefault="003B4399" w:rsidP="00C33627">
                  <w:pPr>
                    <w:rPr>
                      <w:bCs/>
                      <w:sz w:val="26"/>
                      <w:lang w:val="nl-NL"/>
                    </w:rPr>
                  </w:pPr>
                  <w:r>
                    <w:rPr>
                      <w:bCs/>
                      <w:sz w:val="26"/>
                      <w:lang w:val="nl-NL"/>
                    </w:rPr>
                    <w:t>T</w:t>
                  </w:r>
                  <w:r w:rsidRPr="002D3992">
                    <w:rPr>
                      <w:bCs/>
                      <w:sz w:val="26"/>
                      <w:lang w:val="nl-NL"/>
                    </w:rPr>
                    <w:t>ỔNG</w:t>
                  </w:r>
                  <w:r>
                    <w:rPr>
                      <w:bCs/>
                      <w:sz w:val="26"/>
                      <w:lang w:val="nl-NL"/>
                    </w:rPr>
                    <w:t xml:space="preserve"> LI</w:t>
                  </w:r>
                  <w:r w:rsidRPr="002D3992">
                    <w:rPr>
                      <w:bCs/>
                      <w:sz w:val="26"/>
                      <w:lang w:val="nl-NL"/>
                    </w:rPr>
                    <w:t>Ê</w:t>
                  </w:r>
                  <w:r>
                    <w:rPr>
                      <w:bCs/>
                      <w:sz w:val="26"/>
                      <w:lang w:val="nl-NL"/>
                    </w:rPr>
                    <w:t xml:space="preserve">N </w:t>
                  </w:r>
                  <w:r w:rsidRPr="002D3992">
                    <w:rPr>
                      <w:rFonts w:hint="eastAsia"/>
                      <w:bCs/>
                      <w:sz w:val="26"/>
                      <w:lang w:val="nl-NL"/>
                    </w:rPr>
                    <w:t>Đ</w:t>
                  </w:r>
                  <w:r>
                    <w:rPr>
                      <w:bCs/>
                      <w:sz w:val="26"/>
                      <w:lang w:val="nl-NL"/>
                    </w:rPr>
                    <w:t>O</w:t>
                  </w:r>
                  <w:r w:rsidRPr="002D3992">
                    <w:rPr>
                      <w:bCs/>
                      <w:sz w:val="26"/>
                      <w:lang w:val="nl-NL"/>
                    </w:rPr>
                    <w:t>ÀN</w:t>
                  </w:r>
                  <w:r>
                    <w:rPr>
                      <w:bCs/>
                      <w:sz w:val="26"/>
                      <w:lang w:val="nl-NL"/>
                    </w:rPr>
                    <w:t xml:space="preserve"> LAO </w:t>
                  </w:r>
                  <w:r w:rsidRPr="002D3992">
                    <w:rPr>
                      <w:rFonts w:hint="eastAsia"/>
                      <w:bCs/>
                      <w:sz w:val="26"/>
                      <w:lang w:val="nl-NL"/>
                    </w:rPr>
                    <w:t>Đ</w:t>
                  </w:r>
                  <w:r w:rsidRPr="002D3992">
                    <w:rPr>
                      <w:bCs/>
                      <w:sz w:val="26"/>
                      <w:lang w:val="nl-NL"/>
                    </w:rPr>
                    <w:t>ỘNG</w:t>
                  </w:r>
                </w:p>
                <w:p w:rsidR="003B4399" w:rsidRDefault="003B4399" w:rsidP="00C33627">
                  <w:pPr>
                    <w:jc w:val="center"/>
                    <w:rPr>
                      <w:bCs/>
                      <w:sz w:val="26"/>
                      <w:lang w:val="nl-NL"/>
                    </w:rPr>
                  </w:pPr>
                  <w:r>
                    <w:rPr>
                      <w:bCs/>
                      <w:sz w:val="26"/>
                      <w:lang w:val="nl-NL"/>
                    </w:rPr>
                    <w:t>VI</w:t>
                  </w:r>
                  <w:r w:rsidRPr="002D3992">
                    <w:rPr>
                      <w:bCs/>
                      <w:sz w:val="26"/>
                      <w:lang w:val="nl-NL"/>
                    </w:rPr>
                    <w:t>ỆT</w:t>
                  </w:r>
                  <w:r>
                    <w:rPr>
                      <w:bCs/>
                      <w:sz w:val="26"/>
                      <w:lang w:val="nl-NL"/>
                    </w:rPr>
                    <w:t xml:space="preserve"> NAM</w:t>
                  </w:r>
                </w:p>
                <w:p w:rsidR="003B4399" w:rsidRPr="002D3992" w:rsidRDefault="003B4399" w:rsidP="00C33627">
                  <w:pPr>
                    <w:jc w:val="center"/>
                    <w:rPr>
                      <w:b/>
                      <w:bCs/>
                      <w:sz w:val="26"/>
                      <w:lang w:val="nl-NL"/>
                    </w:rPr>
                  </w:pPr>
                  <w:r w:rsidRPr="002D3992">
                    <w:rPr>
                      <w:b/>
                      <w:bCs/>
                      <w:sz w:val="26"/>
                      <w:lang w:val="nl-NL"/>
                    </w:rPr>
                    <w:t>LIÊN ĐOÀN LAO ĐỘNG</w:t>
                  </w:r>
                </w:p>
                <w:p w:rsidR="003B4399" w:rsidRPr="002D3992" w:rsidRDefault="003B4399" w:rsidP="00C33627">
                  <w:pPr>
                    <w:jc w:val="center"/>
                    <w:rPr>
                      <w:b/>
                      <w:bCs/>
                      <w:sz w:val="26"/>
                      <w:lang w:val="nl-NL"/>
                    </w:rPr>
                  </w:pPr>
                  <w:r w:rsidRPr="002D3992">
                    <w:rPr>
                      <w:b/>
                      <w:bCs/>
                      <w:sz w:val="26"/>
                      <w:lang w:val="nl-NL"/>
                    </w:rPr>
                    <w:t>TỈNH CAO BẰNG</w:t>
                  </w:r>
                </w:p>
                <w:p w:rsidR="003B4399" w:rsidRPr="001668EF" w:rsidRDefault="003B4399" w:rsidP="00C33627">
                  <w:pPr>
                    <w:jc w:val="center"/>
                    <w:rPr>
                      <w:lang w:val="nl-NL"/>
                    </w:rPr>
                  </w:pPr>
                  <w:r>
                    <w:rPr>
                      <w:noProof/>
                    </w:rPr>
                    <mc:AlternateContent>
                      <mc:Choice Requires="wps">
                        <w:drawing>
                          <wp:anchor distT="4294967294" distB="4294967294" distL="114300" distR="114300" simplePos="0" relativeHeight="251659264" behindDoc="0" locked="0" layoutInCell="1" allowOverlap="1" wp14:anchorId="6341EC74" wp14:editId="73190BFC">
                            <wp:simplePos x="0" y="0"/>
                            <wp:positionH relativeFrom="column">
                              <wp:posOffset>524510</wp:posOffset>
                            </wp:positionH>
                            <wp:positionV relativeFrom="paragraph">
                              <wp:posOffset>34289</wp:posOffset>
                            </wp:positionV>
                            <wp:extent cx="1314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2.7pt" to="144.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3RHQIAADY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"/>
                        </w:pict>
                      </mc:Fallback>
                    </mc:AlternateContent>
                  </w:r>
                </w:p>
                <w:p w:rsidR="003B4399" w:rsidRPr="001668EF" w:rsidRDefault="003B4399" w:rsidP="00C33627">
                  <w:pPr>
                    <w:jc w:val="center"/>
                    <w:rPr>
                      <w:lang w:val="nl-NL"/>
                    </w:rPr>
                  </w:pPr>
                  <w:r w:rsidRPr="001668EF">
                    <w:rPr>
                      <w:sz w:val="26"/>
                      <w:lang w:val="nl-NL"/>
                    </w:rPr>
                    <w:t>Số</w:t>
                  </w:r>
                  <w:r w:rsidR="00137427">
                    <w:rPr>
                      <w:sz w:val="26"/>
                      <w:lang w:val="nl-NL"/>
                    </w:rPr>
                    <w:t>: 57</w:t>
                  </w:r>
                  <w:r>
                    <w:rPr>
                      <w:sz w:val="26"/>
                      <w:lang w:val="nl-NL"/>
                    </w:rPr>
                    <w:t>/</w:t>
                  </w:r>
                  <w:r w:rsidRPr="001668EF">
                    <w:rPr>
                      <w:sz w:val="26"/>
                      <w:lang w:val="nl-NL"/>
                    </w:rPr>
                    <w:t>KH-LĐLĐ</w:t>
                  </w:r>
                </w:p>
              </w:tc>
              <w:tc>
                <w:tcPr>
                  <w:tcW w:w="5670" w:type="dxa"/>
                </w:tcPr>
                <w:p w:rsidR="003B4399" w:rsidRPr="001668EF" w:rsidRDefault="003B4399" w:rsidP="00C33627">
                  <w:pPr>
                    <w:ind w:left="-108"/>
                    <w:jc w:val="center"/>
                    <w:rPr>
                      <w:b/>
                      <w:sz w:val="26"/>
                      <w:lang w:val="nl-NL"/>
                    </w:rPr>
                  </w:pPr>
                  <w:r w:rsidRPr="001668EF">
                    <w:rPr>
                      <w:b/>
                      <w:bCs/>
                      <w:sz w:val="26"/>
                      <w:lang w:val="nl-NL"/>
                    </w:rPr>
                    <w:t>CỘNG HOÀ XÃ HỘI CHỦ NGHĨA VIỆT NAM</w:t>
                  </w:r>
                </w:p>
                <w:p w:rsidR="003B4399" w:rsidRPr="00FD2E06" w:rsidRDefault="003B4399" w:rsidP="00C33627">
                  <w:pPr>
                    <w:ind w:left="-108"/>
                    <w:jc w:val="center"/>
                    <w:rPr>
                      <w:b/>
                      <w:lang w:val="nl-NL"/>
                    </w:rPr>
                  </w:pPr>
                  <w:r w:rsidRPr="00FD2E06">
                    <w:rPr>
                      <w:b/>
                      <w:bCs/>
                      <w:lang w:val="nl-NL"/>
                    </w:rPr>
                    <w:t>Độc lập</w:t>
                  </w:r>
                  <w:r>
                    <w:rPr>
                      <w:b/>
                      <w:bCs/>
                      <w:lang w:val="nl-NL"/>
                    </w:rPr>
                    <w:t xml:space="preserve"> </w:t>
                  </w:r>
                  <w:r w:rsidRPr="00FD2E06">
                    <w:rPr>
                      <w:b/>
                      <w:bCs/>
                      <w:lang w:val="nl-NL"/>
                    </w:rPr>
                    <w:t>- Tự do - Hạnh phúc</w:t>
                  </w:r>
                </w:p>
                <w:p w:rsidR="003B4399" w:rsidRPr="001668EF" w:rsidRDefault="003B4399" w:rsidP="00C33627">
                  <w:pPr>
                    <w:jc w:val="center"/>
                    <w:rPr>
                      <w:b/>
                      <w:bCs/>
                      <w:lang w:val="nl-NL"/>
                    </w:rPr>
                  </w:pPr>
                  <w:r>
                    <w:rPr>
                      <w:noProof/>
                    </w:rPr>
                    <mc:AlternateContent>
                      <mc:Choice Requires="wps">
                        <w:drawing>
                          <wp:anchor distT="4294967294" distB="4294967294" distL="114300" distR="114300" simplePos="0" relativeHeight="251660288" behindDoc="0" locked="0" layoutInCell="1" allowOverlap="1" wp14:anchorId="22EDA754" wp14:editId="123900D5">
                            <wp:simplePos x="0" y="0"/>
                            <wp:positionH relativeFrom="column">
                              <wp:posOffset>608330</wp:posOffset>
                            </wp:positionH>
                            <wp:positionV relativeFrom="paragraph">
                              <wp:posOffset>38734</wp:posOffset>
                            </wp:positionV>
                            <wp:extent cx="213868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9pt,3.05pt" to="216.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7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Z3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"/>
                        </w:pict>
                      </mc:Fallback>
                    </mc:AlternateContent>
                  </w:r>
                </w:p>
                <w:p w:rsidR="003B4399" w:rsidRDefault="003B4399" w:rsidP="00C33627">
                  <w:pPr>
                    <w:jc w:val="center"/>
                    <w:rPr>
                      <w:i/>
                      <w:iCs/>
                    </w:rPr>
                  </w:pPr>
                </w:p>
                <w:p w:rsidR="003B4399" w:rsidRDefault="003B4399" w:rsidP="00C33627">
                  <w:pPr>
                    <w:jc w:val="center"/>
                    <w:rPr>
                      <w:i/>
                      <w:iCs/>
                      <w:lang w:val="nl-NL"/>
                    </w:rPr>
                  </w:pPr>
                </w:p>
                <w:p w:rsidR="003B4399" w:rsidRPr="003015BC" w:rsidRDefault="003B4399" w:rsidP="00C33627">
                  <w:pPr>
                    <w:jc w:val="center"/>
                    <w:rPr>
                      <w:b/>
                      <w:bCs/>
                      <w:lang w:val="nl-NL"/>
                    </w:rPr>
                  </w:pPr>
                  <w:r>
                    <w:rPr>
                      <w:i/>
                      <w:iCs/>
                      <w:lang w:val="nl-NL"/>
                    </w:rPr>
                    <w:t>Cao Bằng, ngày</w:t>
                  </w:r>
                  <w:r w:rsidR="00137427">
                    <w:rPr>
                      <w:i/>
                      <w:iCs/>
                      <w:lang w:val="nl-NL"/>
                    </w:rPr>
                    <w:t xml:space="preserve"> 17</w:t>
                  </w:r>
                  <w:r>
                    <w:rPr>
                      <w:i/>
                      <w:iCs/>
                      <w:lang w:val="nl-NL"/>
                    </w:rPr>
                    <w:t xml:space="preserve"> </w:t>
                  </w:r>
                  <w:r w:rsidRPr="003015BC">
                    <w:rPr>
                      <w:i/>
                      <w:iCs/>
                      <w:lang w:val="nl-NL"/>
                    </w:rPr>
                    <w:t xml:space="preserve">tháng </w:t>
                  </w:r>
                  <w:r w:rsidR="00137427">
                    <w:rPr>
                      <w:i/>
                      <w:iCs/>
                      <w:lang w:val="nl-NL"/>
                    </w:rPr>
                    <w:t xml:space="preserve">10 </w:t>
                  </w:r>
                  <w:r w:rsidRPr="003015BC">
                    <w:rPr>
                      <w:i/>
                      <w:iCs/>
                      <w:lang w:val="nl-NL"/>
                    </w:rPr>
                    <w:t>năm 2019</w:t>
                  </w:r>
                </w:p>
              </w:tc>
            </w:tr>
          </w:tbl>
          <w:p w:rsidR="009C0646" w:rsidRPr="003B4399" w:rsidRDefault="009C0646" w:rsidP="00E42E9E">
            <w:pPr>
              <w:jc w:val="center"/>
              <w:rPr>
                <w:lang w:val="nl-NL"/>
              </w:rPr>
            </w:pPr>
          </w:p>
        </w:tc>
        <w:tc>
          <w:tcPr>
            <w:tcW w:w="5236" w:type="dxa"/>
          </w:tcPr>
          <w:p w:rsidR="009C0646" w:rsidRPr="003B4399" w:rsidRDefault="009C0646" w:rsidP="009C0646">
            <w:pPr>
              <w:jc w:val="center"/>
              <w:rPr>
                <w:i/>
                <w:lang w:val="nl-NL"/>
              </w:rPr>
            </w:pPr>
          </w:p>
        </w:tc>
      </w:tr>
    </w:tbl>
    <w:p w:rsidR="003B4399" w:rsidRPr="003A1DF2" w:rsidRDefault="003B4399" w:rsidP="009C0646">
      <w:pPr>
        <w:spacing w:line="264" w:lineRule="auto"/>
        <w:jc w:val="center"/>
        <w:rPr>
          <w:b/>
          <w:lang w:val="nl-NL"/>
        </w:rPr>
      </w:pPr>
    </w:p>
    <w:p w:rsidR="009C0646" w:rsidRDefault="009C0646" w:rsidP="009C0646">
      <w:pPr>
        <w:spacing w:line="264" w:lineRule="auto"/>
        <w:jc w:val="center"/>
        <w:rPr>
          <w:b/>
        </w:rPr>
      </w:pPr>
      <w:r w:rsidRPr="00F2477C">
        <w:rPr>
          <w:b/>
        </w:rPr>
        <w:t>K</w:t>
      </w:r>
      <w:r>
        <w:rPr>
          <w:b/>
        </w:rPr>
        <w:t>Ế HOẠCH</w:t>
      </w:r>
    </w:p>
    <w:p w:rsidR="00E13B17" w:rsidRDefault="009C0646" w:rsidP="009C0646">
      <w:pPr>
        <w:jc w:val="center"/>
        <w:rPr>
          <w:b/>
        </w:rPr>
      </w:pPr>
      <w:r>
        <w:rPr>
          <w:b/>
        </w:rPr>
        <w:t xml:space="preserve">Thực hiện Đề </w:t>
      </w:r>
      <w:proofErr w:type="gramStart"/>
      <w:r>
        <w:rPr>
          <w:b/>
        </w:rPr>
        <w:t>án</w:t>
      </w:r>
      <w:proofErr w:type="gramEnd"/>
      <w:r>
        <w:rPr>
          <w:b/>
        </w:rPr>
        <w:t xml:space="preserve"> “Tuyên truyền, phổ biến, giáo dục pháp luật </w:t>
      </w:r>
    </w:p>
    <w:p w:rsidR="009C0646" w:rsidRDefault="009C0646" w:rsidP="009C0646">
      <w:pPr>
        <w:jc w:val="center"/>
        <w:rPr>
          <w:b/>
        </w:rPr>
      </w:pPr>
      <w:proofErr w:type="gramStart"/>
      <w:r>
        <w:rPr>
          <w:b/>
        </w:rPr>
        <w:t>về</w:t>
      </w:r>
      <w:proofErr w:type="gramEnd"/>
      <w:r>
        <w:rPr>
          <w:b/>
        </w:rPr>
        <w:t xml:space="preserve"> phòng, chống tham nhũng giai đoạn 2019 </w:t>
      </w:r>
      <w:r w:rsidR="00BF014B">
        <w:rPr>
          <w:b/>
        </w:rPr>
        <w:t>-</w:t>
      </w:r>
      <w:r>
        <w:rPr>
          <w:b/>
        </w:rPr>
        <w:t xml:space="preserve"> 2021”</w:t>
      </w:r>
    </w:p>
    <w:p w:rsidR="00844A20" w:rsidRDefault="00844A20"/>
    <w:p w:rsidR="009C0646" w:rsidRPr="0095511A" w:rsidRDefault="009C0646" w:rsidP="0095511A">
      <w:pPr>
        <w:spacing w:before="120" w:after="120"/>
        <w:ind w:firstLine="720"/>
        <w:jc w:val="both"/>
      </w:pPr>
      <w:r w:rsidRPr="0095511A">
        <w:t xml:space="preserve">Căn cứ Kế hoạch số </w:t>
      </w:r>
      <w:r w:rsidR="00040216" w:rsidRPr="0095511A">
        <w:t>3413</w:t>
      </w:r>
      <w:r w:rsidRPr="0095511A">
        <w:t xml:space="preserve">/KH-UBND, ngày </w:t>
      </w:r>
      <w:r w:rsidR="00040216" w:rsidRPr="0095511A">
        <w:t>27</w:t>
      </w:r>
      <w:r w:rsidRPr="0095511A">
        <w:t xml:space="preserve">/9/2019 của Ủy </w:t>
      </w:r>
      <w:r w:rsidR="00FE1723" w:rsidRPr="0095511A">
        <w:t>b</w:t>
      </w:r>
      <w:r w:rsidRPr="0095511A">
        <w:t xml:space="preserve">an nhân dân tỉnh </w:t>
      </w:r>
      <w:r w:rsidR="00040216" w:rsidRPr="0095511A">
        <w:t>Cao Bằng</w:t>
      </w:r>
      <w:r w:rsidRPr="0095511A">
        <w:t xml:space="preserve"> về thực hiện Đề án “Tuyên truyền, phổ biến, giáo dục pháp luật về phòng, chống tham nhũng giai đoạn 2019 </w:t>
      </w:r>
      <w:r w:rsidR="003A1DF2" w:rsidRPr="0095511A">
        <w:t>-</w:t>
      </w:r>
      <w:r w:rsidRPr="0095511A">
        <w:t xml:space="preserve"> 202</w:t>
      </w:r>
      <w:r w:rsidR="003A1DF2" w:rsidRPr="0095511A">
        <w:t>1</w:t>
      </w:r>
      <w:r w:rsidRPr="0095511A">
        <w:t>”, L</w:t>
      </w:r>
      <w:r w:rsidR="00F32476">
        <w:t>iên đoàn Lao động (LĐLĐ)</w:t>
      </w:r>
      <w:r w:rsidRPr="0095511A">
        <w:t xml:space="preserve"> tỉnh</w:t>
      </w:r>
      <w:r w:rsidR="003A1DF2" w:rsidRPr="0095511A">
        <w:t xml:space="preserve"> Cao Bằng </w:t>
      </w:r>
      <w:r w:rsidRPr="0095511A">
        <w:t xml:space="preserve"> </w:t>
      </w:r>
      <w:r w:rsidR="003A1DF2" w:rsidRPr="0095511A">
        <w:t>xây dựng</w:t>
      </w:r>
      <w:r w:rsidRPr="0095511A">
        <w:t xml:space="preserve"> Kế hoạch thực hiện như sau:</w:t>
      </w:r>
    </w:p>
    <w:p w:rsidR="009C0646" w:rsidRPr="0095511A" w:rsidRDefault="009C0646" w:rsidP="0095511A">
      <w:pPr>
        <w:spacing w:before="120" w:after="120"/>
        <w:ind w:firstLine="720"/>
        <w:jc w:val="both"/>
        <w:rPr>
          <w:b/>
        </w:rPr>
      </w:pPr>
      <w:r w:rsidRPr="0095511A">
        <w:rPr>
          <w:b/>
        </w:rPr>
        <w:t>I. MỤC TIÊU, YÊU CẦU</w:t>
      </w:r>
    </w:p>
    <w:p w:rsidR="009C0646" w:rsidRPr="0095511A" w:rsidRDefault="009C0646" w:rsidP="0095511A">
      <w:pPr>
        <w:spacing w:before="120" w:after="120"/>
        <w:ind w:firstLine="720"/>
        <w:jc w:val="both"/>
        <w:rPr>
          <w:b/>
        </w:rPr>
      </w:pPr>
      <w:r w:rsidRPr="0095511A">
        <w:rPr>
          <w:b/>
        </w:rPr>
        <w:t>1. Mục tiêu</w:t>
      </w:r>
    </w:p>
    <w:p w:rsidR="009C0646" w:rsidRPr="0095511A" w:rsidRDefault="009C0646" w:rsidP="0095511A">
      <w:pPr>
        <w:spacing w:before="120" w:after="120"/>
        <w:ind w:firstLine="720"/>
        <w:jc w:val="both"/>
      </w:pPr>
      <w:r w:rsidRPr="0095511A">
        <w:t xml:space="preserve">1.1. Mục tiêu </w:t>
      </w:r>
      <w:proofErr w:type="gramStart"/>
      <w:r w:rsidRPr="0095511A">
        <w:t>chung</w:t>
      </w:r>
      <w:proofErr w:type="gramEnd"/>
    </w:p>
    <w:p w:rsidR="009C0646" w:rsidRPr="0095511A" w:rsidRDefault="009C0646" w:rsidP="0095511A">
      <w:pPr>
        <w:spacing w:before="120" w:after="120"/>
        <w:ind w:firstLine="720"/>
        <w:jc w:val="both"/>
      </w:pPr>
      <w:r w:rsidRPr="0095511A">
        <w:t xml:space="preserve">Tạo </w:t>
      </w:r>
      <w:r w:rsidR="00F82C49" w:rsidRPr="0095511A">
        <w:t xml:space="preserve">sự </w:t>
      </w:r>
      <w:r w:rsidRPr="0095511A">
        <w:t>chuyển biến mạnh</w:t>
      </w:r>
      <w:r w:rsidR="00E13B17" w:rsidRPr="0095511A">
        <w:t xml:space="preserve"> mẽ</w:t>
      </w:r>
      <w:r w:rsidRPr="0095511A">
        <w:t xml:space="preserve"> trong nhận thức, ý thức chấp hành, học tập, tìm hiểu pháp luật về phòng, chống tham nhũng; xây dựng lối sống liêm chính và tuân thủ pháp luật về phòng, chống tham nhũng trong đoàn viên, CNVCLĐ. Đưa công tác tuyên truyền, phổ biến, giáo dục pháp luật về phòng, chống tham nhũng đi vào chiều sâu, thiết thực, hiệu quả, góp phần tích cực cải thiện tình hình tham nhũng và công tác phòng, chống tham nhũng.</w:t>
      </w:r>
    </w:p>
    <w:p w:rsidR="009C0646" w:rsidRPr="0095511A" w:rsidRDefault="009C0646" w:rsidP="0095511A">
      <w:pPr>
        <w:spacing w:before="120" w:after="120"/>
        <w:ind w:firstLine="720"/>
        <w:jc w:val="both"/>
      </w:pPr>
      <w:r w:rsidRPr="0095511A">
        <w:t>1.2. Mục tiêu cụ thể</w:t>
      </w:r>
    </w:p>
    <w:p w:rsidR="009C0646" w:rsidRPr="0095511A" w:rsidRDefault="009C0646" w:rsidP="0095511A">
      <w:pPr>
        <w:spacing w:before="120" w:after="120"/>
        <w:ind w:firstLine="720"/>
        <w:jc w:val="both"/>
      </w:pPr>
      <w:r w:rsidRPr="0095511A">
        <w:t>- Hàng năm, 100% đoàn viên, CNVCLĐ được tuyên truyền, phổ biến, giáo dục pháp luật về phòng, chống tha</w:t>
      </w:r>
      <w:r w:rsidR="00C950C6" w:rsidRPr="0095511A">
        <w:t>m nhũng với</w:t>
      </w:r>
      <w:r w:rsidRPr="0095511A">
        <w:t xml:space="preserve"> các hình thức</w:t>
      </w:r>
      <w:r w:rsidR="00C950C6" w:rsidRPr="0095511A">
        <w:t xml:space="preserve"> phong phú phù hợp</w:t>
      </w:r>
      <w:r w:rsidRPr="0095511A">
        <w:t>.</w:t>
      </w:r>
    </w:p>
    <w:p w:rsidR="009C0646" w:rsidRPr="0095511A" w:rsidRDefault="00C950C6" w:rsidP="0095511A">
      <w:pPr>
        <w:spacing w:before="120" w:after="120"/>
        <w:ind w:firstLine="720"/>
        <w:jc w:val="both"/>
      </w:pPr>
      <w:r w:rsidRPr="0095511A">
        <w:t>- Đến hế</w:t>
      </w:r>
      <w:r w:rsidR="009C0646" w:rsidRPr="0095511A">
        <w:t xml:space="preserve">t năm 2019 có 85%, đến hết năm 2021 có 100% người lao động tại cơ quan nghiên cứu, tổ chức xã hội, tổ chức xã hội </w:t>
      </w:r>
      <w:r w:rsidRPr="0095511A">
        <w:t>-</w:t>
      </w:r>
      <w:r w:rsidR="00E13B17" w:rsidRPr="0095511A">
        <w:t xml:space="preserve"> </w:t>
      </w:r>
      <w:r w:rsidR="009C0646" w:rsidRPr="0095511A">
        <w:t>nghề nghiệp được tuyên truyền, phổ biến, giáo dục pháp luật về phòng, chống tham nhũng.</w:t>
      </w:r>
    </w:p>
    <w:p w:rsidR="009C0646" w:rsidRPr="0095511A" w:rsidRDefault="009C0646" w:rsidP="0095511A">
      <w:pPr>
        <w:spacing w:before="120" w:after="120"/>
        <w:ind w:firstLine="720"/>
        <w:jc w:val="both"/>
      </w:pPr>
      <w:r w:rsidRPr="0095511A">
        <w:t>- Đến hết năm 2019 có 75%, đến hêt năm 2021 có 90% người lao động tại doanh nghiệp, cơ sở sản xuất, kinh doanh được tuyên truyền, phổ biến, giáo dục pháp luật về phòng, chống tham nhũng.</w:t>
      </w:r>
    </w:p>
    <w:p w:rsidR="009C0646" w:rsidRPr="0095511A" w:rsidRDefault="009C0646" w:rsidP="0095511A">
      <w:pPr>
        <w:spacing w:before="120" w:after="120"/>
        <w:ind w:firstLine="720"/>
        <w:jc w:val="both"/>
      </w:pPr>
      <w:r w:rsidRPr="0095511A">
        <w:t xml:space="preserve">- </w:t>
      </w:r>
      <w:r w:rsidR="0028010F" w:rsidRPr="0095511A">
        <w:t>Tuyên truyền trong đoàn viên, CNVCLĐ</w:t>
      </w:r>
      <w:r w:rsidRPr="0095511A">
        <w:t xml:space="preserve"> nhận thức rõ hành vi đưa, nhận, môi giới hối lộ là vi phạm pháp luật và trái đạo đức, lương tâm, trách nhiệm, c</w:t>
      </w:r>
      <w:r w:rsidR="00E13B17" w:rsidRPr="0095511A">
        <w:t>ần lên án mạnh mẽ để xây dựng mố</w:t>
      </w:r>
      <w:r w:rsidRPr="0095511A">
        <w:t>i quan hệ lành mạnh giữa cán bộ, công chức, viên chức với người dân, củng cố vững chắc đạo đức, hành vi chuẩn mực của cán bộ, công chức, viên chức và người dân.</w:t>
      </w:r>
    </w:p>
    <w:p w:rsidR="009C0646" w:rsidRPr="0095511A" w:rsidRDefault="009C0646" w:rsidP="0095511A">
      <w:pPr>
        <w:spacing w:before="120" w:after="120"/>
        <w:ind w:firstLine="720"/>
        <w:jc w:val="both"/>
        <w:rPr>
          <w:b/>
        </w:rPr>
      </w:pPr>
      <w:r w:rsidRPr="0095511A">
        <w:rPr>
          <w:b/>
        </w:rPr>
        <w:t>2. Yêu cầu</w:t>
      </w:r>
    </w:p>
    <w:p w:rsidR="009C0646" w:rsidRPr="0095511A" w:rsidRDefault="009C0646" w:rsidP="0095511A">
      <w:pPr>
        <w:spacing w:before="120" w:after="120"/>
        <w:ind w:firstLine="720"/>
        <w:jc w:val="both"/>
      </w:pPr>
      <w:r w:rsidRPr="0095511A">
        <w:t xml:space="preserve">Việc triển khai cần bám sát chủ trương, đường lối của Đảng, pháp luật của nhà nước về phòng, chống tham nhũng; nội dung thực hiện có trọng tâm, trọng </w:t>
      </w:r>
      <w:r w:rsidRPr="0095511A">
        <w:lastRenderedPageBreak/>
        <w:t>điểm phù hợp với đối tượng</w:t>
      </w:r>
      <w:r w:rsidR="0028010F" w:rsidRPr="0095511A">
        <w:t xml:space="preserve"> đoàn viên, CNVCLĐ tại các cơ quan, đơn vị, doanh nghiệp</w:t>
      </w:r>
      <w:r w:rsidRPr="0095511A">
        <w:t>; hình thức đảm bảo tính đa dạng, linh hoạt, sáng tạo; đồng thời phải tăng cường ứng dụng công nghệ thông tin, truyền thông vào công tác tuyên truyền, phổ biến, giáo dục pháp luật về phòng, chống tham nhũng.</w:t>
      </w:r>
    </w:p>
    <w:p w:rsidR="009C0646" w:rsidRPr="0095511A" w:rsidRDefault="009C0646" w:rsidP="0095511A">
      <w:pPr>
        <w:spacing w:before="120" w:after="120"/>
        <w:ind w:firstLine="720"/>
        <w:jc w:val="both"/>
      </w:pPr>
      <w:r w:rsidRPr="0095511A">
        <w:t xml:space="preserve">Tuyên truyền, phổ biến, giáo dục phải kịp thời, thường xuyên đổi mới theo hướng kết hợp tuyên truyền chính sách của Đảng, pháp luật của Nhà nước, tư tưởng Hồ Chí Minh về phòng, chống tham nhũng với giáo dục đạo đức liêm chính, trách nhiệm nêu gương của cán bộ, công chức, viên chức. Hoạt động tuyên truyền, phổ biến, giáo dục pháp luật về phòng, chống tham nhũng và đạo đức liêm chính tập trung cao điểm trong dịp kỷ niệm Ngày Quốc tế phòng, chống tham nhũng </w:t>
      </w:r>
      <w:r w:rsidR="00E13B17" w:rsidRPr="0095511A">
        <w:t xml:space="preserve">ngày </w:t>
      </w:r>
      <w:r w:rsidRPr="0095511A">
        <w:t>09 tháng 12 hàng năm.</w:t>
      </w:r>
    </w:p>
    <w:p w:rsidR="009C0646" w:rsidRPr="0095511A" w:rsidRDefault="009C0646" w:rsidP="0095511A">
      <w:pPr>
        <w:spacing w:before="120" w:after="120"/>
        <w:ind w:firstLine="720"/>
        <w:jc w:val="both"/>
      </w:pPr>
      <w:r w:rsidRPr="0095511A">
        <w:t xml:space="preserve">Người đứng đầu các cơ quan, đơn vị được giao nhiệm vụ phải tích cực, chủ động triển khai thực hiện kế hoạch </w:t>
      </w:r>
      <w:proofErr w:type="gramStart"/>
      <w:r w:rsidRPr="0095511A">
        <w:t>theo</w:t>
      </w:r>
      <w:proofErr w:type="gramEnd"/>
      <w:r w:rsidRPr="0095511A">
        <w:t xml:space="preserve"> đúng tiến độ đề ra đảm bảo chất lượng, hiệu quả.</w:t>
      </w:r>
    </w:p>
    <w:p w:rsidR="009C0646" w:rsidRPr="0095511A" w:rsidRDefault="009C0646" w:rsidP="0095511A">
      <w:pPr>
        <w:spacing w:before="120" w:after="120"/>
        <w:ind w:firstLine="720"/>
        <w:jc w:val="both"/>
        <w:rPr>
          <w:b/>
        </w:rPr>
      </w:pPr>
      <w:r w:rsidRPr="0095511A">
        <w:rPr>
          <w:b/>
        </w:rPr>
        <w:t>II. NỘI DUNG</w:t>
      </w:r>
    </w:p>
    <w:p w:rsidR="009C0646" w:rsidRPr="0095511A" w:rsidRDefault="0028010F" w:rsidP="0095511A">
      <w:pPr>
        <w:spacing w:before="120" w:after="120"/>
        <w:ind w:firstLine="720"/>
        <w:jc w:val="both"/>
        <w:rPr>
          <w:b/>
        </w:rPr>
      </w:pPr>
      <w:r w:rsidRPr="0095511A">
        <w:rPr>
          <w:b/>
        </w:rPr>
        <w:t>1.</w:t>
      </w:r>
      <w:r w:rsidR="009C0646" w:rsidRPr="0095511A">
        <w:rPr>
          <w:b/>
        </w:rPr>
        <w:t xml:space="preserve"> Nội dung tuyên truyền, phổ biến, giáo dục pháp luật về phòng, chống tham nhũng</w:t>
      </w:r>
    </w:p>
    <w:p w:rsidR="0028010F" w:rsidRPr="0095511A" w:rsidRDefault="0028010F" w:rsidP="0095511A">
      <w:pPr>
        <w:spacing w:before="120" w:after="120"/>
        <w:ind w:firstLine="720"/>
        <w:jc w:val="both"/>
      </w:pPr>
      <w:r w:rsidRPr="0095511A">
        <w:t>1.1. Thực trạng, nguyên nhân, điều kiện tham nhũng và giải pháp phòng, chống tham nhũng.</w:t>
      </w:r>
    </w:p>
    <w:p w:rsidR="009C0646" w:rsidRPr="0095511A" w:rsidRDefault="009C0646" w:rsidP="0095511A">
      <w:pPr>
        <w:spacing w:before="120" w:after="120"/>
        <w:ind w:firstLine="720"/>
        <w:jc w:val="both"/>
      </w:pPr>
      <w:r w:rsidRPr="0095511A">
        <w:t>1.2. Ý nghĩa, tầm quan trọng của phòng, chống tham nhũng và xây dựng đạo đức liêm chính.</w:t>
      </w:r>
    </w:p>
    <w:p w:rsidR="009C0646" w:rsidRPr="0095511A" w:rsidRDefault="009C0646" w:rsidP="0095511A">
      <w:pPr>
        <w:spacing w:before="120" w:after="120"/>
        <w:ind w:firstLine="720"/>
        <w:jc w:val="both"/>
        <w:rPr>
          <w:spacing w:val="-20"/>
        </w:rPr>
      </w:pPr>
      <w:r w:rsidRPr="0095511A">
        <w:rPr>
          <w:spacing w:val="-20"/>
        </w:rPr>
        <w:t>1.3 Tư tưởng Hồ Chí Minh về đạo đức liêm chính và phòng, chống tham nhũng.</w:t>
      </w:r>
    </w:p>
    <w:p w:rsidR="009C0646" w:rsidRPr="0095511A" w:rsidRDefault="009C0646" w:rsidP="0095511A">
      <w:pPr>
        <w:spacing w:before="120" w:after="120"/>
        <w:ind w:firstLine="720"/>
        <w:jc w:val="both"/>
        <w:rPr>
          <w:spacing w:val="-20"/>
        </w:rPr>
      </w:pPr>
      <w:r w:rsidRPr="0095511A">
        <w:rPr>
          <w:spacing w:val="-20"/>
        </w:rPr>
        <w:t>1.4. Quan điểm, chủ trương, chính sách của Đảng về phòng, chống tham nhũng.</w:t>
      </w:r>
    </w:p>
    <w:p w:rsidR="009C0646" w:rsidRPr="0095511A" w:rsidRDefault="009C0646" w:rsidP="0095511A">
      <w:pPr>
        <w:spacing w:before="120" w:after="120"/>
        <w:ind w:firstLine="720"/>
        <w:jc w:val="both"/>
      </w:pPr>
      <w:r w:rsidRPr="0095511A">
        <w:t>1.5. Luật Phòng, chống tham nhũng năm 2018 và các văn bản hướng dẫn thi hành. Trọng tâm là các quy định mới về: Hành vi tham nhũng; phòng, chống tham nhũng trong khu vực ngoài nhà nước; trách nhiệm của cơ quan, tổ chức, đơn vị và doanh nghiệp, tổ chức khu vực ngoài nhà nước trong phòng, chống tham nhũng; các biện pháp phòng ngừa tham nhũng; kiểm soát tài sản, thu nhập của người có chức vụ, quyền hạn; xử lý tham nhũng và hành vi vi phạm pháp luật về phòng, chống tham nhũng; tuyên truyền, phổ biến, giáo dục pháp luật về phòng, chống tham nhũng.</w:t>
      </w:r>
    </w:p>
    <w:p w:rsidR="009C0646" w:rsidRPr="0095511A" w:rsidRDefault="009C0646" w:rsidP="0095511A">
      <w:pPr>
        <w:spacing w:before="120" w:after="120"/>
        <w:ind w:firstLine="720"/>
        <w:jc w:val="both"/>
      </w:pPr>
      <w:r w:rsidRPr="0095511A">
        <w:t>1.6. Kinh nghiệm phòng, chống tham nhũng trong lịch sử Việt Nam.</w:t>
      </w:r>
    </w:p>
    <w:p w:rsidR="009C0646" w:rsidRPr="0095511A" w:rsidRDefault="009C0646" w:rsidP="0095511A">
      <w:pPr>
        <w:spacing w:before="120" w:after="120"/>
        <w:ind w:firstLine="720"/>
        <w:jc w:val="both"/>
      </w:pPr>
      <w:r w:rsidRPr="0095511A">
        <w:t>1.7. Công ước của Liên hiệp quốc về phòng chống tham nhũng; hợp tác quốc tế của Việt Nam trong phòng, chống tham nhũng; kinh nghiệm quốc tế về phòng, chống tham nhũng.</w:t>
      </w:r>
    </w:p>
    <w:p w:rsidR="009C0646" w:rsidRPr="0095511A" w:rsidRDefault="009C0646" w:rsidP="0095511A">
      <w:pPr>
        <w:spacing w:before="120" w:after="120"/>
        <w:ind w:firstLine="720"/>
        <w:jc w:val="both"/>
      </w:pPr>
      <w:r w:rsidRPr="0095511A">
        <w:t>1.8. Tình hình, kết quả thực hiện chính sách, pháp luật về phòng, chống tham nhũng.</w:t>
      </w:r>
    </w:p>
    <w:p w:rsidR="009C0646" w:rsidRPr="0095511A" w:rsidRDefault="009C0646" w:rsidP="0095511A">
      <w:pPr>
        <w:spacing w:before="120" w:after="120"/>
        <w:ind w:firstLine="720"/>
        <w:jc w:val="both"/>
      </w:pPr>
      <w:r w:rsidRPr="0095511A">
        <w:t xml:space="preserve">1.9. Quyền, nghĩa vụ của cán bộ, công chức, viên chức, người </w:t>
      </w:r>
      <w:proofErr w:type="gramStart"/>
      <w:r w:rsidRPr="0095511A">
        <w:t>lao</w:t>
      </w:r>
      <w:proofErr w:type="gramEnd"/>
      <w:r w:rsidRPr="0095511A">
        <w:t xml:space="preserve"> động và công dân trong phòng, chống tham nhũng.</w:t>
      </w:r>
    </w:p>
    <w:p w:rsidR="009C0646" w:rsidRPr="0095511A" w:rsidRDefault="009C0646" w:rsidP="0095511A">
      <w:pPr>
        <w:spacing w:before="120" w:after="120"/>
        <w:ind w:firstLine="720"/>
        <w:jc w:val="both"/>
      </w:pPr>
      <w:r w:rsidRPr="0095511A">
        <w:lastRenderedPageBreak/>
        <w:t>1.10. Mô hình kinh nghiệm, gương tiêu biểu về phòng, chống tham nhũng và đạo đức liêm chính.</w:t>
      </w:r>
    </w:p>
    <w:p w:rsidR="009C0646" w:rsidRPr="0095511A" w:rsidRDefault="009C0646" w:rsidP="0095511A">
      <w:pPr>
        <w:spacing w:before="120" w:after="120"/>
        <w:ind w:firstLine="720"/>
        <w:jc w:val="both"/>
      </w:pPr>
      <w:r w:rsidRPr="0095511A">
        <w:t>1.11. Các sự kiệ</w:t>
      </w:r>
      <w:r w:rsidR="00E13B17" w:rsidRPr="0095511A">
        <w:t xml:space="preserve">n, vấn đề </w:t>
      </w:r>
      <w:r w:rsidR="00992BC5">
        <w:t>c</w:t>
      </w:r>
      <w:r w:rsidR="00E13B17" w:rsidRPr="0095511A">
        <w:t xml:space="preserve">hính trị - </w:t>
      </w:r>
      <w:r w:rsidR="00992BC5">
        <w:t>pháp lý - k</w:t>
      </w:r>
      <w:r w:rsidR="00E13B17" w:rsidRPr="0095511A">
        <w:t xml:space="preserve">inh tế - </w:t>
      </w:r>
      <w:r w:rsidR="00992BC5">
        <w:t>v</w:t>
      </w:r>
      <w:r w:rsidR="00E13B17" w:rsidRPr="0095511A">
        <w:t xml:space="preserve">ăn hóa - </w:t>
      </w:r>
      <w:r w:rsidR="00992BC5">
        <w:t>x</w:t>
      </w:r>
      <w:r w:rsidRPr="0095511A">
        <w:t>ã hội có chủ đề, nội dung về phòng, chống tham nhũng và đạo đức liêm chính.</w:t>
      </w:r>
    </w:p>
    <w:p w:rsidR="009C0646" w:rsidRPr="0095511A" w:rsidRDefault="009C0646" w:rsidP="0095511A">
      <w:pPr>
        <w:spacing w:before="120" w:after="120"/>
        <w:ind w:firstLine="720"/>
        <w:jc w:val="both"/>
        <w:rPr>
          <w:b/>
        </w:rPr>
      </w:pPr>
      <w:r w:rsidRPr="0095511A">
        <w:rPr>
          <w:b/>
        </w:rPr>
        <w:t>2. Hình thức tuyên truyền, phổ biến, giáo dục pháp luật về phòng chống tham nhũng</w:t>
      </w:r>
    </w:p>
    <w:p w:rsidR="009C0646" w:rsidRPr="0095511A" w:rsidRDefault="00F82C49" w:rsidP="0095511A">
      <w:pPr>
        <w:spacing w:before="120" w:after="120"/>
        <w:ind w:firstLine="720"/>
        <w:jc w:val="both"/>
      </w:pPr>
      <w:r w:rsidRPr="0095511A">
        <w:t>Các cấp Công đoàn trong tỉnh p</w:t>
      </w:r>
      <w:r w:rsidR="0028010F" w:rsidRPr="0095511A">
        <w:t>hối hợp với chính quyền cùng cấp, t</w:t>
      </w:r>
      <w:r w:rsidR="009C0646" w:rsidRPr="0095511A">
        <w:t>uyên truyền, phổ biến, giáo dục thông qua các cuộc họp, hội nghị, sinh hoạt của cơ quan</w:t>
      </w:r>
      <w:r w:rsidR="0028010F" w:rsidRPr="0095511A">
        <w:t>, đoàn thể</w:t>
      </w:r>
      <w:r w:rsidR="009C0646" w:rsidRPr="0095511A">
        <w:t xml:space="preserve"> </w:t>
      </w:r>
      <w:r w:rsidR="0028010F" w:rsidRPr="0095511A">
        <w:t>nhất là trong các hoạt động</w:t>
      </w:r>
      <w:r w:rsidR="007B7AE9">
        <w:t xml:space="preserve">; thông qua các đợt sinh hoạt chính trị - văn hóa, văn nghệ </w:t>
      </w:r>
      <w:r w:rsidR="00C4617F">
        <w:t>lồng ghép</w:t>
      </w:r>
      <w:r w:rsidR="007B7AE9">
        <w:t xml:space="preserve"> chủ đề về phòng, chống tham nhũng và xây dựng đạo đức liêm chính</w:t>
      </w:r>
      <w:r w:rsidR="0028010F" w:rsidRPr="0095511A">
        <w:t>.</w:t>
      </w:r>
    </w:p>
    <w:p w:rsidR="009C0646" w:rsidRPr="0095511A" w:rsidRDefault="009C0646" w:rsidP="0095511A">
      <w:pPr>
        <w:spacing w:before="120" w:after="120"/>
        <w:ind w:firstLine="720"/>
        <w:jc w:val="both"/>
      </w:pPr>
      <w:r w:rsidRPr="0095511A">
        <w:t>Thời gian thực hiện: Từ năm 2019 đến năm 2021.</w:t>
      </w:r>
    </w:p>
    <w:p w:rsidR="00F82C49" w:rsidRPr="0095511A" w:rsidRDefault="00F32476" w:rsidP="0095511A">
      <w:pPr>
        <w:spacing w:before="120" w:after="120"/>
        <w:ind w:firstLine="720"/>
        <w:jc w:val="both"/>
        <w:rPr>
          <w:b/>
        </w:rPr>
      </w:pPr>
      <w:r>
        <w:rPr>
          <w:b/>
        </w:rPr>
        <w:t>IV.</w:t>
      </w:r>
      <w:r w:rsidR="00F82C49" w:rsidRPr="0095511A">
        <w:rPr>
          <w:b/>
        </w:rPr>
        <w:t xml:space="preserve"> TỔ CHỨC THỰC HIỆN</w:t>
      </w:r>
    </w:p>
    <w:p w:rsidR="00F82C49" w:rsidRPr="0095511A" w:rsidRDefault="00F82C49" w:rsidP="0095511A">
      <w:pPr>
        <w:spacing w:before="120" w:after="120"/>
        <w:ind w:right="-28" w:firstLine="720"/>
        <w:jc w:val="both"/>
        <w:rPr>
          <w:b/>
        </w:rPr>
      </w:pPr>
      <w:r w:rsidRPr="0095511A">
        <w:rPr>
          <w:b/>
        </w:rPr>
        <w:t>1. Liên đoàn Lao động tỉnh</w:t>
      </w:r>
    </w:p>
    <w:p w:rsidR="00F82C49" w:rsidRPr="0095511A" w:rsidRDefault="00EE0C1D" w:rsidP="0095511A">
      <w:pPr>
        <w:spacing w:before="120" w:after="120"/>
        <w:ind w:firstLine="720"/>
        <w:jc w:val="both"/>
      </w:pPr>
      <w:r>
        <w:t xml:space="preserve">- </w:t>
      </w:r>
      <w:r w:rsidR="00C950C6" w:rsidRPr="0095511A">
        <w:t>X</w:t>
      </w:r>
      <w:r w:rsidR="00F82C49" w:rsidRPr="0095511A">
        <w:t>ây dựng Kế hoạch thực hiện</w:t>
      </w:r>
      <w:r w:rsidR="00C950C6" w:rsidRPr="0095511A">
        <w:t xml:space="preserve"> Đề </w:t>
      </w:r>
      <w:proofErr w:type="gramStart"/>
      <w:r w:rsidR="00C950C6" w:rsidRPr="0095511A">
        <w:t>án</w:t>
      </w:r>
      <w:proofErr w:type="gramEnd"/>
      <w:r w:rsidR="00F82C49" w:rsidRPr="0095511A">
        <w:t xml:space="preserve"> “Tuyên truyền, phổ biến, giáo dục pháp luật về phòng, chống th</w:t>
      </w:r>
      <w:r w:rsidR="00C950C6" w:rsidRPr="0095511A">
        <w:t xml:space="preserve">am nhũng giai đoạn 2019 </w:t>
      </w:r>
      <w:r w:rsidR="008E1412">
        <w:t>-</w:t>
      </w:r>
      <w:r w:rsidR="00C950C6" w:rsidRPr="0095511A">
        <w:t xml:space="preserve"> 2021” và triển khai trong toàn hệ thống Công đoàn.</w:t>
      </w:r>
    </w:p>
    <w:p w:rsidR="00F82C49" w:rsidRPr="0095511A" w:rsidRDefault="00EE0C1D" w:rsidP="0095511A">
      <w:pPr>
        <w:spacing w:before="120" w:after="120"/>
        <w:ind w:right="-28" w:firstLine="720"/>
        <w:jc w:val="both"/>
        <w:rPr>
          <w:lang w:val="nl-NL"/>
        </w:rPr>
      </w:pPr>
      <w:r>
        <w:t xml:space="preserve">- </w:t>
      </w:r>
      <w:r w:rsidR="00F82C49" w:rsidRPr="0095511A">
        <w:t>Hàng năm phối hợp với Sở Tư pháp và các cơ quan</w:t>
      </w:r>
      <w:r w:rsidR="00C950C6" w:rsidRPr="0095511A">
        <w:t xml:space="preserve"> hữu quan</w:t>
      </w:r>
      <w:r w:rsidR="00F82C49" w:rsidRPr="0095511A">
        <w:t xml:space="preserve"> liên quan tổ chức tập huấn tuyên truyền, phổ biến, giáo dục pháp luật nói </w:t>
      </w:r>
      <w:proofErr w:type="gramStart"/>
      <w:r w:rsidR="00F82C49" w:rsidRPr="0095511A">
        <w:t>chung</w:t>
      </w:r>
      <w:proofErr w:type="gramEnd"/>
      <w:r w:rsidR="00F82C49" w:rsidRPr="0095511A">
        <w:t xml:space="preserve"> và tuyên truyền về phòng chống tham nhũng nói riêng trong đoàn viên, CNVCLĐ</w:t>
      </w:r>
      <w:r w:rsidR="00F82C49" w:rsidRPr="0095511A">
        <w:rPr>
          <w:lang w:val="nl-NL"/>
        </w:rPr>
        <w:t>.</w:t>
      </w:r>
    </w:p>
    <w:p w:rsidR="00F82C49" w:rsidRPr="0095511A" w:rsidRDefault="00F82C49" w:rsidP="0095511A">
      <w:pPr>
        <w:spacing w:before="120" w:after="120"/>
        <w:ind w:right="-28" w:firstLine="720"/>
        <w:jc w:val="both"/>
        <w:rPr>
          <w:lang w:val="nl-NL"/>
        </w:rPr>
      </w:pPr>
      <w:r w:rsidRPr="0095511A">
        <w:rPr>
          <w:lang w:val="nl-NL"/>
        </w:rPr>
        <w:t xml:space="preserve"> </w:t>
      </w:r>
      <w:r w:rsidR="00EE0C1D">
        <w:rPr>
          <w:lang w:val="nl-NL"/>
        </w:rPr>
        <w:t xml:space="preserve">- </w:t>
      </w:r>
      <w:r w:rsidRPr="0095511A">
        <w:rPr>
          <w:color w:val="000000"/>
          <w:lang w:val="nl-NL"/>
        </w:rPr>
        <w:t xml:space="preserve">Tổ chức kiểm tra việc triển khai, thực hiện công tác </w:t>
      </w:r>
      <w:r w:rsidRPr="0095511A">
        <w:rPr>
          <w:rStyle w:val="Strong"/>
          <w:b w:val="0"/>
          <w:shd w:val="clear" w:color="auto" w:fill="FFFFFF"/>
          <w:lang w:val="nl-NL"/>
        </w:rPr>
        <w:t>tuyên truyền</w:t>
      </w:r>
      <w:r w:rsidRPr="0095511A">
        <w:rPr>
          <w:lang w:val="nl-NL"/>
        </w:rPr>
        <w:t xml:space="preserve"> về phòng chống tham trong đoàn viên, CNVCLĐ toàn tỉnh</w:t>
      </w:r>
      <w:r w:rsidRPr="0095511A">
        <w:rPr>
          <w:color w:val="000000"/>
          <w:lang w:val="nl-NL"/>
        </w:rPr>
        <w:t>.</w:t>
      </w:r>
    </w:p>
    <w:p w:rsidR="00F82C49" w:rsidRPr="0095511A" w:rsidRDefault="00F82C49" w:rsidP="0095511A">
      <w:pPr>
        <w:spacing w:before="120" w:after="120"/>
        <w:ind w:right="-28" w:firstLine="720"/>
        <w:jc w:val="both"/>
        <w:rPr>
          <w:b/>
          <w:lang w:val="nl-NL"/>
        </w:rPr>
      </w:pPr>
      <w:r w:rsidRPr="0095511A">
        <w:rPr>
          <w:b/>
          <w:lang w:val="nl-NL"/>
        </w:rPr>
        <w:t xml:space="preserve">2. LĐLĐ các huyện, thành phố, Công đoàn ngành và CĐCS trực thuộc </w:t>
      </w:r>
    </w:p>
    <w:p w:rsidR="00F82C49" w:rsidRDefault="00EE0C1D" w:rsidP="0095511A">
      <w:pPr>
        <w:spacing w:before="120" w:after="120"/>
        <w:ind w:right="144" w:firstLine="720"/>
        <w:jc w:val="both"/>
        <w:rPr>
          <w:lang w:val="nl-NL"/>
        </w:rPr>
      </w:pPr>
      <w:r>
        <w:rPr>
          <w:lang w:val="nl-NL"/>
        </w:rPr>
        <w:t xml:space="preserve">- </w:t>
      </w:r>
      <w:r w:rsidR="00C931B9" w:rsidRPr="0095511A">
        <w:rPr>
          <w:lang w:val="nl-NL"/>
        </w:rPr>
        <w:t xml:space="preserve">Căn cứ </w:t>
      </w:r>
      <w:r w:rsidR="00E13B17" w:rsidRPr="0095511A">
        <w:rPr>
          <w:lang w:val="nl-NL"/>
        </w:rPr>
        <w:t xml:space="preserve"> Kế hoạch </w:t>
      </w:r>
      <w:r w:rsidR="00C931B9" w:rsidRPr="0095511A">
        <w:rPr>
          <w:lang w:val="nl-NL"/>
        </w:rPr>
        <w:t xml:space="preserve">của cấp tỉnh để cụ thể hóa và </w:t>
      </w:r>
      <w:r w:rsidR="00F82C49" w:rsidRPr="0095511A">
        <w:rPr>
          <w:lang w:val="nl-NL"/>
        </w:rPr>
        <w:t xml:space="preserve">triển khai, thực hiện có hiệu quả Đề án “Tuyên truyền, phổ biến, giáo dục pháp luật về phòng, chống tham nhũng giai đoạn 2019 </w:t>
      </w:r>
      <w:r w:rsidR="00C931B9" w:rsidRPr="0095511A">
        <w:rPr>
          <w:lang w:val="nl-NL"/>
        </w:rPr>
        <w:t>-</w:t>
      </w:r>
      <w:r w:rsidR="00F82C49" w:rsidRPr="0095511A">
        <w:rPr>
          <w:lang w:val="nl-NL"/>
        </w:rPr>
        <w:t xml:space="preserve"> 2021”.</w:t>
      </w:r>
    </w:p>
    <w:p w:rsidR="00EE0C1D" w:rsidRPr="0095511A" w:rsidRDefault="00EE0C1D" w:rsidP="0095511A">
      <w:pPr>
        <w:spacing w:before="120" w:after="120"/>
        <w:ind w:right="144" w:firstLine="720"/>
        <w:jc w:val="both"/>
        <w:rPr>
          <w:lang w:val="nl-NL"/>
        </w:rPr>
      </w:pPr>
      <w:r>
        <w:rPr>
          <w:lang w:val="nl-NL"/>
        </w:rPr>
        <w:t>- Giao LĐLĐ Thành phố là đơn vị điểm thực hiện công tác tuyên truyền, phổ biến, giáo dục pháp luật về phòng, chống tham nhũng</w:t>
      </w:r>
      <w:r w:rsidR="00BC6932">
        <w:rPr>
          <w:lang w:val="nl-NL"/>
        </w:rPr>
        <w:t>, t</w:t>
      </w:r>
      <w:r w:rsidR="00C10187">
        <w:rPr>
          <w:lang w:val="nl-NL"/>
        </w:rPr>
        <w:t xml:space="preserve">hời gian thực hiện </w:t>
      </w:r>
      <w:r w:rsidR="00BC6932">
        <w:rPr>
          <w:lang w:val="nl-NL"/>
        </w:rPr>
        <w:t>trong quý IV/2019</w:t>
      </w:r>
      <w:r w:rsidR="00C10187">
        <w:rPr>
          <w:lang w:val="nl-NL"/>
        </w:rPr>
        <w:t>.</w:t>
      </w:r>
    </w:p>
    <w:p w:rsidR="00F82C49" w:rsidRPr="0095511A" w:rsidRDefault="00F82C49" w:rsidP="0095511A">
      <w:pPr>
        <w:spacing w:before="120" w:after="120"/>
        <w:ind w:firstLine="720"/>
        <w:jc w:val="both"/>
        <w:rPr>
          <w:lang w:val="nl-NL"/>
        </w:rPr>
      </w:pPr>
      <w:r w:rsidRPr="0095511A">
        <w:rPr>
          <w:lang w:val="nl-NL"/>
        </w:rPr>
        <w:t xml:space="preserve">Định kỳ báo cáo kết quả về </w:t>
      </w:r>
      <w:r w:rsidR="00932B73">
        <w:rPr>
          <w:lang w:val="nl-NL"/>
        </w:rPr>
        <w:t>LĐLĐ</w:t>
      </w:r>
      <w:r w:rsidRPr="0095511A">
        <w:rPr>
          <w:lang w:val="nl-NL"/>
        </w:rPr>
        <w:t xml:space="preserve"> tỉnh (qua Ban</w:t>
      </w:r>
      <w:r w:rsidR="00C931B9" w:rsidRPr="0095511A">
        <w:rPr>
          <w:lang w:val="nl-NL"/>
        </w:rPr>
        <w:t xml:space="preserve"> Tổ chức - Tuyên giáo - </w:t>
      </w:r>
      <w:r w:rsidRPr="0095511A">
        <w:rPr>
          <w:lang w:val="nl-NL"/>
        </w:rPr>
        <w:t>N</w:t>
      </w:r>
      <w:r w:rsidR="00C931B9" w:rsidRPr="0095511A">
        <w:rPr>
          <w:lang w:val="nl-NL"/>
        </w:rPr>
        <w:t>ữ công) trong báo cáo công tác T</w:t>
      </w:r>
      <w:r w:rsidRPr="0095511A">
        <w:rPr>
          <w:lang w:val="nl-NL"/>
        </w:rPr>
        <w:t>uyên giáo Công đoàn 6 tháng và năm./.</w:t>
      </w:r>
    </w:p>
    <w:tbl>
      <w:tblPr>
        <w:tblW w:w="9768" w:type="dxa"/>
        <w:tblLook w:val="01E0" w:firstRow="1" w:lastRow="1" w:firstColumn="1" w:lastColumn="1" w:noHBand="0" w:noVBand="0"/>
      </w:tblPr>
      <w:tblGrid>
        <w:gridCol w:w="5288"/>
        <w:gridCol w:w="4480"/>
      </w:tblGrid>
      <w:tr w:rsidR="00F82C49" w:rsidRPr="007E523F" w:rsidTr="00E42E9E">
        <w:tc>
          <w:tcPr>
            <w:tcW w:w="5288" w:type="dxa"/>
          </w:tcPr>
          <w:p w:rsidR="00F82C49" w:rsidRPr="007E523F" w:rsidRDefault="00F82C49" w:rsidP="00E42E9E">
            <w:pPr>
              <w:spacing w:line="360" w:lineRule="exact"/>
              <w:jc w:val="both"/>
              <w:rPr>
                <w:b/>
                <w:i/>
                <w:lang w:val="nl-NL"/>
              </w:rPr>
            </w:pPr>
            <w:r w:rsidRPr="007E523F">
              <w:rPr>
                <w:b/>
                <w:i/>
                <w:sz w:val="24"/>
                <w:lang w:val="nl-NL"/>
              </w:rPr>
              <w:t>Nơi nhận:</w:t>
            </w:r>
          </w:p>
          <w:p w:rsidR="00F82C49" w:rsidRPr="003B4399" w:rsidRDefault="00F82C49" w:rsidP="00F82C49">
            <w:pPr>
              <w:rPr>
                <w:sz w:val="22"/>
                <w:szCs w:val="22"/>
                <w:lang w:val="nl-NL"/>
              </w:rPr>
            </w:pPr>
            <w:r w:rsidRPr="003B4399">
              <w:rPr>
                <w:sz w:val="22"/>
                <w:szCs w:val="22"/>
                <w:lang w:val="nl-NL"/>
              </w:rPr>
              <w:t>- UBND tỉnh;</w:t>
            </w:r>
          </w:p>
          <w:p w:rsidR="00F82C49" w:rsidRPr="003B4399" w:rsidRDefault="00F82C49" w:rsidP="00E42E9E">
            <w:pPr>
              <w:jc w:val="both"/>
              <w:rPr>
                <w:sz w:val="22"/>
                <w:szCs w:val="22"/>
                <w:lang w:val="nl-NL"/>
              </w:rPr>
            </w:pPr>
            <w:r w:rsidRPr="003B4399">
              <w:rPr>
                <w:sz w:val="22"/>
                <w:szCs w:val="22"/>
                <w:lang w:val="nl-NL"/>
              </w:rPr>
              <w:t>- Ban Dân vận Tỉnh ủy;</w:t>
            </w:r>
          </w:p>
          <w:p w:rsidR="00F82C49" w:rsidRPr="003B4399" w:rsidRDefault="00F82C49" w:rsidP="00E42E9E">
            <w:pPr>
              <w:jc w:val="both"/>
              <w:rPr>
                <w:sz w:val="22"/>
                <w:szCs w:val="22"/>
                <w:lang w:val="nl-NL"/>
              </w:rPr>
            </w:pPr>
            <w:r w:rsidRPr="003B4399">
              <w:rPr>
                <w:sz w:val="22"/>
                <w:szCs w:val="22"/>
                <w:lang w:val="nl-NL"/>
              </w:rPr>
              <w:t>- Ban Tuyên giáo TLĐ;</w:t>
            </w:r>
          </w:p>
          <w:p w:rsidR="00F82C49" w:rsidRPr="003B4399" w:rsidRDefault="00F82C49" w:rsidP="00E42E9E">
            <w:pPr>
              <w:jc w:val="both"/>
              <w:rPr>
                <w:sz w:val="22"/>
                <w:szCs w:val="22"/>
                <w:lang w:val="nl-NL"/>
              </w:rPr>
            </w:pPr>
            <w:r w:rsidRPr="003B4399">
              <w:rPr>
                <w:sz w:val="22"/>
                <w:szCs w:val="22"/>
                <w:lang w:val="nl-NL"/>
              </w:rPr>
              <w:t>- Các Ban LĐLĐ tỉnh;</w:t>
            </w:r>
          </w:p>
          <w:p w:rsidR="00F82C49" w:rsidRPr="003B4399" w:rsidRDefault="00F82C49" w:rsidP="00E42E9E">
            <w:pPr>
              <w:jc w:val="both"/>
              <w:rPr>
                <w:sz w:val="22"/>
                <w:szCs w:val="22"/>
                <w:lang w:val="nl-NL"/>
              </w:rPr>
            </w:pPr>
            <w:r w:rsidRPr="003B4399">
              <w:rPr>
                <w:sz w:val="22"/>
                <w:szCs w:val="22"/>
                <w:lang w:val="nl-NL"/>
              </w:rPr>
              <w:t>- Các LĐLĐ huyện, thành phố, CĐ ngành, CĐCSTT;</w:t>
            </w:r>
          </w:p>
          <w:p w:rsidR="00F82C49" w:rsidRPr="007E523F" w:rsidRDefault="00C931B9" w:rsidP="00E42E9E">
            <w:pPr>
              <w:jc w:val="both"/>
              <w:rPr>
                <w:sz w:val="22"/>
                <w:szCs w:val="22"/>
                <w:lang w:val="nl-NL"/>
              </w:rPr>
            </w:pPr>
            <w:r>
              <w:rPr>
                <w:sz w:val="22"/>
                <w:szCs w:val="22"/>
                <w:lang w:val="nl-NL"/>
              </w:rPr>
              <w:t>- Lưu: VT, TCTGNC (Dg).</w:t>
            </w:r>
          </w:p>
        </w:tc>
        <w:tc>
          <w:tcPr>
            <w:tcW w:w="4480" w:type="dxa"/>
          </w:tcPr>
          <w:p w:rsidR="00F82C49" w:rsidRPr="007E523F" w:rsidRDefault="00F82C49" w:rsidP="00E42E9E">
            <w:pPr>
              <w:jc w:val="center"/>
              <w:rPr>
                <w:b/>
                <w:lang w:val="nl-NL"/>
              </w:rPr>
            </w:pPr>
            <w:r w:rsidRPr="007E523F">
              <w:rPr>
                <w:b/>
                <w:lang w:val="nl-NL"/>
              </w:rPr>
              <w:t>TM. BAN THƯỜNG VỤ</w:t>
            </w:r>
          </w:p>
          <w:p w:rsidR="00F82C49" w:rsidRPr="007E523F" w:rsidRDefault="00F82C49" w:rsidP="00E42E9E">
            <w:pPr>
              <w:jc w:val="center"/>
              <w:rPr>
                <w:b/>
                <w:lang w:val="nl-NL"/>
              </w:rPr>
            </w:pPr>
            <w:r w:rsidRPr="007E523F">
              <w:rPr>
                <w:b/>
                <w:lang w:val="nl-NL"/>
              </w:rPr>
              <w:t xml:space="preserve"> PHÓ CHỦ TỊCH</w:t>
            </w:r>
          </w:p>
          <w:p w:rsidR="00F82C49" w:rsidRPr="007E523F" w:rsidRDefault="00F82C49" w:rsidP="00E42E9E">
            <w:pPr>
              <w:spacing w:line="360" w:lineRule="exact"/>
              <w:jc w:val="center"/>
              <w:rPr>
                <w:b/>
                <w:lang w:val="nl-NL"/>
              </w:rPr>
            </w:pPr>
          </w:p>
          <w:p w:rsidR="00F82C49" w:rsidRPr="007E523F" w:rsidRDefault="00137427" w:rsidP="00E42E9E">
            <w:pPr>
              <w:spacing w:line="360" w:lineRule="exact"/>
              <w:jc w:val="center"/>
              <w:rPr>
                <w:b/>
                <w:lang w:val="nl-NL"/>
              </w:rPr>
            </w:pPr>
            <w:r>
              <w:rPr>
                <w:b/>
                <w:lang w:val="nl-NL"/>
              </w:rPr>
              <w:t>(Đã ký)</w:t>
            </w:r>
            <w:bookmarkStart w:id="0" w:name="_GoBack"/>
            <w:bookmarkEnd w:id="0"/>
          </w:p>
          <w:p w:rsidR="00F82C49" w:rsidRPr="007E523F" w:rsidRDefault="00F82C49" w:rsidP="00E42E9E">
            <w:pPr>
              <w:spacing w:line="360" w:lineRule="exact"/>
              <w:jc w:val="center"/>
              <w:rPr>
                <w:b/>
                <w:lang w:val="nl-NL"/>
              </w:rPr>
            </w:pPr>
          </w:p>
          <w:p w:rsidR="00F82C49" w:rsidRPr="007E523F" w:rsidRDefault="00F82C49" w:rsidP="0095511A">
            <w:pPr>
              <w:spacing w:line="360" w:lineRule="exact"/>
              <w:rPr>
                <w:b/>
                <w:lang w:val="nl-NL"/>
              </w:rPr>
            </w:pPr>
          </w:p>
          <w:p w:rsidR="00F82C49" w:rsidRPr="007E523F" w:rsidRDefault="00137427" w:rsidP="00E42E9E">
            <w:pPr>
              <w:spacing w:line="360" w:lineRule="exact"/>
              <w:jc w:val="center"/>
              <w:rPr>
                <w:b/>
                <w:lang w:val="nl-NL"/>
              </w:rPr>
            </w:pPr>
            <w:r>
              <w:rPr>
                <w:b/>
                <w:lang w:val="nl-NL"/>
              </w:rPr>
              <w:t>Phạm Đức Khôi</w:t>
            </w:r>
          </w:p>
        </w:tc>
      </w:tr>
    </w:tbl>
    <w:p w:rsidR="00CA79E0" w:rsidRDefault="00CA79E0" w:rsidP="0095511A">
      <w:pPr>
        <w:spacing w:before="60" w:after="60" w:line="288" w:lineRule="auto"/>
        <w:jc w:val="both"/>
      </w:pPr>
    </w:p>
    <w:p w:rsidR="009C0646" w:rsidRDefault="009C0646"/>
    <w:sectPr w:rsidR="009C0646" w:rsidSect="007427E4">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851" w:left="1701" w:header="567"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B52" w:rsidRDefault="00A34B52" w:rsidP="00F82C49">
      <w:r>
        <w:separator/>
      </w:r>
    </w:p>
  </w:endnote>
  <w:endnote w:type="continuationSeparator" w:id="0">
    <w:p w:rsidR="00A34B52" w:rsidRDefault="00A34B52" w:rsidP="00F8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E4" w:rsidRDefault="007427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44887"/>
      <w:docPartObj>
        <w:docPartGallery w:val="Page Numbers (Bottom of Page)"/>
        <w:docPartUnique/>
      </w:docPartObj>
    </w:sdtPr>
    <w:sdtEndPr>
      <w:rPr>
        <w:noProof/>
      </w:rPr>
    </w:sdtEndPr>
    <w:sdtContent>
      <w:p w:rsidR="0095511A" w:rsidRDefault="0095511A">
        <w:pPr>
          <w:pStyle w:val="Footer"/>
          <w:jc w:val="right"/>
        </w:pPr>
        <w:r>
          <w:fldChar w:fldCharType="begin"/>
        </w:r>
        <w:r>
          <w:instrText xml:space="preserve"> PAGE   \* MERGEFORMAT </w:instrText>
        </w:r>
        <w:r>
          <w:fldChar w:fldCharType="separate"/>
        </w:r>
        <w:r w:rsidR="00137427">
          <w:rPr>
            <w:noProof/>
          </w:rPr>
          <w:t>3</w:t>
        </w:r>
        <w:r>
          <w:rPr>
            <w:noProof/>
          </w:rPr>
          <w:fldChar w:fldCharType="end"/>
        </w:r>
      </w:p>
    </w:sdtContent>
  </w:sdt>
  <w:p w:rsidR="00F82C49" w:rsidRDefault="00F82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E4" w:rsidRDefault="0074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B52" w:rsidRDefault="00A34B52" w:rsidP="00F82C49">
      <w:r>
        <w:separator/>
      </w:r>
    </w:p>
  </w:footnote>
  <w:footnote w:type="continuationSeparator" w:id="0">
    <w:p w:rsidR="00A34B52" w:rsidRDefault="00A34B52" w:rsidP="00F82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E4" w:rsidRDefault="007427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E4" w:rsidRDefault="007427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E4" w:rsidRDefault="007427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46"/>
    <w:rsid w:val="00040216"/>
    <w:rsid w:val="00137427"/>
    <w:rsid w:val="0028010F"/>
    <w:rsid w:val="003A1DF2"/>
    <w:rsid w:val="003B4399"/>
    <w:rsid w:val="004132DC"/>
    <w:rsid w:val="00440731"/>
    <w:rsid w:val="004A029E"/>
    <w:rsid w:val="005B466E"/>
    <w:rsid w:val="00621D16"/>
    <w:rsid w:val="006F1960"/>
    <w:rsid w:val="007427E4"/>
    <w:rsid w:val="007B7AE9"/>
    <w:rsid w:val="00844A20"/>
    <w:rsid w:val="008829A1"/>
    <w:rsid w:val="008C4D77"/>
    <w:rsid w:val="008E1412"/>
    <w:rsid w:val="00932B73"/>
    <w:rsid w:val="0095511A"/>
    <w:rsid w:val="00992BC5"/>
    <w:rsid w:val="009C0646"/>
    <w:rsid w:val="00A34B52"/>
    <w:rsid w:val="00B102D6"/>
    <w:rsid w:val="00BC6932"/>
    <w:rsid w:val="00BF014B"/>
    <w:rsid w:val="00C10187"/>
    <w:rsid w:val="00C175DD"/>
    <w:rsid w:val="00C37270"/>
    <w:rsid w:val="00C4617F"/>
    <w:rsid w:val="00C7770F"/>
    <w:rsid w:val="00C931B9"/>
    <w:rsid w:val="00C950C6"/>
    <w:rsid w:val="00CA79E0"/>
    <w:rsid w:val="00D20139"/>
    <w:rsid w:val="00E13B17"/>
    <w:rsid w:val="00E62F08"/>
    <w:rsid w:val="00E6739A"/>
    <w:rsid w:val="00E72B26"/>
    <w:rsid w:val="00EE0C1D"/>
    <w:rsid w:val="00F06B3E"/>
    <w:rsid w:val="00F32476"/>
    <w:rsid w:val="00F82C49"/>
    <w:rsid w:val="00FE1723"/>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46"/>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46"/>
    <w:pPr>
      <w:spacing w:after="200" w:line="276" w:lineRule="auto"/>
      <w:ind w:left="720"/>
      <w:contextualSpacing/>
    </w:pPr>
    <w:rPr>
      <w:rFonts w:eastAsiaTheme="minorHAnsi" w:cstheme="minorBidi"/>
      <w:szCs w:val="22"/>
    </w:rPr>
  </w:style>
  <w:style w:type="character" w:styleId="Strong">
    <w:name w:val="Strong"/>
    <w:qFormat/>
    <w:rsid w:val="00F82C49"/>
    <w:rPr>
      <w:b/>
      <w:bCs/>
    </w:rPr>
  </w:style>
  <w:style w:type="paragraph" w:styleId="Header">
    <w:name w:val="header"/>
    <w:basedOn w:val="Normal"/>
    <w:link w:val="HeaderChar"/>
    <w:uiPriority w:val="99"/>
    <w:unhideWhenUsed/>
    <w:rsid w:val="00F82C49"/>
    <w:pPr>
      <w:tabs>
        <w:tab w:val="center" w:pos="4680"/>
        <w:tab w:val="right" w:pos="9360"/>
      </w:tabs>
    </w:pPr>
  </w:style>
  <w:style w:type="character" w:customStyle="1" w:styleId="HeaderChar">
    <w:name w:val="Header Char"/>
    <w:basedOn w:val="DefaultParagraphFont"/>
    <w:link w:val="Header"/>
    <w:uiPriority w:val="99"/>
    <w:rsid w:val="00F82C49"/>
    <w:rPr>
      <w:rFonts w:eastAsia="Times New Roman" w:cs="Times New Roman"/>
      <w:szCs w:val="28"/>
    </w:rPr>
  </w:style>
  <w:style w:type="paragraph" w:styleId="Footer">
    <w:name w:val="footer"/>
    <w:basedOn w:val="Normal"/>
    <w:link w:val="FooterChar"/>
    <w:uiPriority w:val="99"/>
    <w:unhideWhenUsed/>
    <w:rsid w:val="00F82C49"/>
    <w:pPr>
      <w:tabs>
        <w:tab w:val="center" w:pos="4680"/>
        <w:tab w:val="right" w:pos="9360"/>
      </w:tabs>
    </w:pPr>
  </w:style>
  <w:style w:type="character" w:customStyle="1" w:styleId="FooterChar">
    <w:name w:val="Footer Char"/>
    <w:basedOn w:val="DefaultParagraphFont"/>
    <w:link w:val="Footer"/>
    <w:uiPriority w:val="99"/>
    <w:rsid w:val="00F82C49"/>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46"/>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46"/>
    <w:pPr>
      <w:spacing w:after="200" w:line="276" w:lineRule="auto"/>
      <w:ind w:left="720"/>
      <w:contextualSpacing/>
    </w:pPr>
    <w:rPr>
      <w:rFonts w:eastAsiaTheme="minorHAnsi" w:cstheme="minorBidi"/>
      <w:szCs w:val="22"/>
    </w:rPr>
  </w:style>
  <w:style w:type="character" w:styleId="Strong">
    <w:name w:val="Strong"/>
    <w:qFormat/>
    <w:rsid w:val="00F82C49"/>
    <w:rPr>
      <w:b/>
      <w:bCs/>
    </w:rPr>
  </w:style>
  <w:style w:type="paragraph" w:styleId="Header">
    <w:name w:val="header"/>
    <w:basedOn w:val="Normal"/>
    <w:link w:val="HeaderChar"/>
    <w:uiPriority w:val="99"/>
    <w:unhideWhenUsed/>
    <w:rsid w:val="00F82C49"/>
    <w:pPr>
      <w:tabs>
        <w:tab w:val="center" w:pos="4680"/>
        <w:tab w:val="right" w:pos="9360"/>
      </w:tabs>
    </w:pPr>
  </w:style>
  <w:style w:type="character" w:customStyle="1" w:styleId="HeaderChar">
    <w:name w:val="Header Char"/>
    <w:basedOn w:val="DefaultParagraphFont"/>
    <w:link w:val="Header"/>
    <w:uiPriority w:val="99"/>
    <w:rsid w:val="00F82C49"/>
    <w:rPr>
      <w:rFonts w:eastAsia="Times New Roman" w:cs="Times New Roman"/>
      <w:szCs w:val="28"/>
    </w:rPr>
  </w:style>
  <w:style w:type="paragraph" w:styleId="Footer">
    <w:name w:val="footer"/>
    <w:basedOn w:val="Normal"/>
    <w:link w:val="FooterChar"/>
    <w:uiPriority w:val="99"/>
    <w:unhideWhenUsed/>
    <w:rsid w:val="00F82C49"/>
    <w:pPr>
      <w:tabs>
        <w:tab w:val="center" w:pos="4680"/>
        <w:tab w:val="right" w:pos="9360"/>
      </w:tabs>
    </w:pPr>
  </w:style>
  <w:style w:type="character" w:customStyle="1" w:styleId="FooterChar">
    <w:name w:val="Footer Char"/>
    <w:basedOn w:val="DefaultParagraphFont"/>
    <w:link w:val="Footer"/>
    <w:uiPriority w:val="99"/>
    <w:rsid w:val="00F82C49"/>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QUYNHCD</dc:creator>
  <cp:lastModifiedBy>Admin</cp:lastModifiedBy>
  <cp:revision>24</cp:revision>
  <cp:lastPrinted>2019-09-27T03:33:00Z</cp:lastPrinted>
  <dcterms:created xsi:type="dcterms:W3CDTF">2019-10-08T10:23:00Z</dcterms:created>
  <dcterms:modified xsi:type="dcterms:W3CDTF">2019-10-18T02:01:00Z</dcterms:modified>
</cp:coreProperties>
</file>