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83" w:rsidRPr="000215F8" w:rsidRDefault="00AC6C83" w:rsidP="00AD07E1">
      <w:pPr>
        <w:rPr>
          <w:b/>
          <w:sz w:val="2"/>
          <w:szCs w:val="28"/>
        </w:rPr>
      </w:pPr>
    </w:p>
    <w:tbl>
      <w:tblPr>
        <w:tblW w:w="9546" w:type="dxa"/>
        <w:tblInd w:w="-79" w:type="dxa"/>
        <w:tblLayout w:type="fixed"/>
        <w:tblLook w:val="0000"/>
      </w:tblPr>
      <w:tblGrid>
        <w:gridCol w:w="4301"/>
        <w:gridCol w:w="5245"/>
      </w:tblGrid>
      <w:tr w:rsidR="00AC6C83" w:rsidRPr="00C349D2" w:rsidTr="00DC2669">
        <w:trPr>
          <w:trHeight w:val="1505"/>
        </w:trPr>
        <w:tc>
          <w:tcPr>
            <w:tcW w:w="4301" w:type="dxa"/>
          </w:tcPr>
          <w:p w:rsidR="00AC6C83" w:rsidRPr="00C349D2" w:rsidRDefault="00AC6C83" w:rsidP="00DC2669">
            <w:pPr>
              <w:jc w:val="center"/>
              <w:rPr>
                <w:bCs/>
                <w:sz w:val="26"/>
              </w:rPr>
            </w:pPr>
            <w:r w:rsidRPr="00C349D2">
              <w:rPr>
                <w:bCs/>
                <w:sz w:val="26"/>
              </w:rPr>
              <w:t>TỔNG LIÊN ĐOÀN LAO ĐỘNG</w:t>
            </w:r>
          </w:p>
          <w:p w:rsidR="00AC6C83" w:rsidRPr="00C349D2" w:rsidRDefault="00AC6C83" w:rsidP="00DC2669">
            <w:pPr>
              <w:jc w:val="center"/>
              <w:rPr>
                <w:bCs/>
                <w:sz w:val="26"/>
              </w:rPr>
            </w:pPr>
            <w:r w:rsidRPr="00C349D2">
              <w:rPr>
                <w:bCs/>
                <w:sz w:val="26"/>
              </w:rPr>
              <w:t xml:space="preserve"> VIỆT </w:t>
            </w:r>
            <w:smartTag w:uri="urn:schemas-microsoft-com:office:smarttags" w:element="country-region">
              <w:smartTag w:uri="urn:schemas-microsoft-com:office:smarttags" w:element="place">
                <w:r w:rsidRPr="00C349D2">
                  <w:rPr>
                    <w:bCs/>
                    <w:sz w:val="26"/>
                  </w:rPr>
                  <w:t>NAM</w:t>
                </w:r>
              </w:smartTag>
            </w:smartTag>
          </w:p>
          <w:p w:rsidR="00AC6C83" w:rsidRPr="00C349D2" w:rsidRDefault="00AC6C83" w:rsidP="00DC2669">
            <w:pPr>
              <w:jc w:val="center"/>
              <w:rPr>
                <w:rFonts w:ascii="Times New Roman Bold" w:hAnsi="Times New Roman Bold"/>
                <w:b/>
                <w:bCs/>
                <w:spacing w:val="-10"/>
                <w:sz w:val="26"/>
              </w:rPr>
            </w:pPr>
            <w:r w:rsidRPr="00C349D2">
              <w:rPr>
                <w:rFonts w:ascii="Times New Roman Bold" w:hAnsi="Times New Roman Bold"/>
                <w:b/>
                <w:bCs/>
                <w:spacing w:val="-10"/>
                <w:sz w:val="26"/>
              </w:rPr>
              <w:t xml:space="preserve">LIÊN ĐOÀN LAO ĐỘNG </w:t>
            </w:r>
          </w:p>
          <w:p w:rsidR="00AC6C83" w:rsidRPr="00C349D2" w:rsidRDefault="00AC6C83" w:rsidP="00DC2669">
            <w:pPr>
              <w:jc w:val="center"/>
              <w:rPr>
                <w:rFonts w:ascii="Times New Roman Bold" w:hAnsi="Times New Roman Bold"/>
                <w:b/>
                <w:bCs/>
                <w:spacing w:val="-10"/>
                <w:sz w:val="26"/>
              </w:rPr>
            </w:pPr>
            <w:r w:rsidRPr="00C349D2">
              <w:rPr>
                <w:rFonts w:ascii="Times New Roman Bold" w:hAnsi="Times New Roman Bold"/>
                <w:b/>
                <w:bCs/>
                <w:spacing w:val="-10"/>
                <w:sz w:val="26"/>
              </w:rPr>
              <w:t>TỈNH CAO BẰNG</w:t>
            </w:r>
          </w:p>
          <w:p w:rsidR="00AC6C83" w:rsidRPr="00C349D2" w:rsidRDefault="00AC6C83" w:rsidP="00DC2669">
            <w:pPr>
              <w:jc w:val="center"/>
              <w:rPr>
                <w:bCs/>
              </w:rPr>
            </w:pPr>
            <w:r>
              <w:rPr>
                <w:noProof/>
              </w:rPr>
              <w:pict>
                <v:line id="Straight Connector 4" o:spid="_x0000_s1026" style="position:absolute;left:0;text-align:left;z-index:251658240;visibility:visible;mso-wrap-distance-top:-3e-5mm;mso-wrap-distance-bottom:-3e-5mm" from="51.6pt,1.75pt" to="154.45pt,1.75pt"/>
              </w:pict>
            </w:r>
          </w:p>
          <w:p w:rsidR="00AC6C83" w:rsidRPr="00DC2669" w:rsidRDefault="00AC6C83" w:rsidP="00DC2669">
            <w:pPr>
              <w:jc w:val="center"/>
              <w:rPr>
                <w:bCs/>
                <w:sz w:val="26"/>
              </w:rPr>
            </w:pPr>
            <w:r w:rsidRPr="00C349D2">
              <w:rPr>
                <w:bCs/>
                <w:sz w:val="26"/>
              </w:rPr>
              <w:t>Số</w:t>
            </w:r>
            <w:r>
              <w:rPr>
                <w:bCs/>
                <w:sz w:val="26"/>
              </w:rPr>
              <w:t>: 55</w:t>
            </w:r>
            <w:r w:rsidRPr="00C349D2">
              <w:rPr>
                <w:bCs/>
                <w:sz w:val="26"/>
              </w:rPr>
              <w:t>/</w:t>
            </w:r>
            <w:r>
              <w:rPr>
                <w:bCs/>
                <w:sz w:val="26"/>
              </w:rPr>
              <w:t>KH-</w:t>
            </w:r>
            <w:r w:rsidRPr="00C349D2">
              <w:rPr>
                <w:bCs/>
                <w:sz w:val="26"/>
              </w:rPr>
              <w:t>LĐLĐ</w:t>
            </w:r>
          </w:p>
        </w:tc>
        <w:tc>
          <w:tcPr>
            <w:tcW w:w="5245" w:type="dxa"/>
          </w:tcPr>
          <w:p w:rsidR="00AC6C83" w:rsidRPr="00C349D2" w:rsidRDefault="00AC6C83" w:rsidP="00DC2669">
            <w:pPr>
              <w:jc w:val="center"/>
              <w:rPr>
                <w:rFonts w:ascii="Times New Roman Bold" w:hAnsi="Times New Roman Bold"/>
                <w:b/>
                <w:spacing w:val="-12"/>
              </w:rPr>
            </w:pPr>
            <w:r w:rsidRPr="00C349D2">
              <w:rPr>
                <w:rFonts w:ascii="Times New Roman Bold" w:hAnsi="Times New Roman Bold"/>
                <w:b/>
                <w:spacing w:val="-12"/>
                <w:sz w:val="26"/>
              </w:rPr>
              <w:t xml:space="preserve">CỘNG HÒA XÃ HỘI CHỦ NGHĨA VIỆT </w:t>
            </w:r>
            <w:smartTag w:uri="urn:schemas-microsoft-com:office:smarttags" w:element="country-region">
              <w:smartTag w:uri="urn:schemas-microsoft-com:office:smarttags" w:element="place">
                <w:r w:rsidRPr="00C349D2">
                  <w:rPr>
                    <w:rFonts w:ascii="Times New Roman Bold" w:hAnsi="Times New Roman Bold"/>
                    <w:b/>
                    <w:spacing w:val="-12"/>
                    <w:sz w:val="26"/>
                  </w:rPr>
                  <w:t>NAM</w:t>
                </w:r>
              </w:smartTag>
            </w:smartTag>
          </w:p>
          <w:p w:rsidR="00AC6C83" w:rsidRPr="00C349D2" w:rsidRDefault="00AC6C83" w:rsidP="00DC2669">
            <w:pPr>
              <w:jc w:val="center"/>
              <w:rPr>
                <w:b/>
                <w:sz w:val="28"/>
              </w:rPr>
            </w:pPr>
            <w:r w:rsidRPr="00C349D2">
              <w:rPr>
                <w:b/>
                <w:sz w:val="28"/>
              </w:rPr>
              <w:t>Độc lập - Tự do - Hạnh phúc</w:t>
            </w:r>
          </w:p>
          <w:p w:rsidR="00AC6C83" w:rsidRPr="00C349D2" w:rsidRDefault="00AC6C83" w:rsidP="00DC2669">
            <w:pPr>
              <w:jc w:val="center"/>
              <w:rPr>
                <w:b/>
              </w:rPr>
            </w:pPr>
            <w:r>
              <w:rPr>
                <w:noProof/>
              </w:rPr>
              <w:pict>
                <v:line id="Straight Connector 3" o:spid="_x0000_s1027" style="position:absolute;left:0;text-align:left;flip:y;z-index:251657216;visibility:visible;mso-wrap-distance-top:-3e-5mm;mso-wrap-distance-bottom:-3e-5mm" from="44.2pt,2pt" to="207.2pt,2pt">
                  <w10:anchorlock/>
                </v:line>
              </w:pict>
            </w:r>
          </w:p>
          <w:p w:rsidR="00AC6C83" w:rsidRPr="00C349D2" w:rsidRDefault="00AC6C83" w:rsidP="00DC2669">
            <w:pPr>
              <w:jc w:val="center"/>
              <w:rPr>
                <w:i/>
                <w:sz w:val="28"/>
                <w:szCs w:val="28"/>
              </w:rPr>
            </w:pPr>
          </w:p>
          <w:p w:rsidR="00AC6C83" w:rsidRPr="009B4F8D" w:rsidRDefault="00AC6C83" w:rsidP="00DC2669">
            <w:pPr>
              <w:jc w:val="center"/>
              <w:rPr>
                <w:i/>
                <w:sz w:val="20"/>
                <w:szCs w:val="20"/>
              </w:rPr>
            </w:pPr>
          </w:p>
          <w:p w:rsidR="00AC6C83" w:rsidRPr="003F6481" w:rsidRDefault="00AC6C83" w:rsidP="00DC2669">
            <w:pPr>
              <w:jc w:val="center"/>
              <w:rPr>
                <w:i/>
                <w:sz w:val="28"/>
                <w:szCs w:val="28"/>
              </w:rPr>
            </w:pPr>
            <w:r w:rsidRPr="003F6481">
              <w:rPr>
                <w:i/>
                <w:sz w:val="28"/>
                <w:szCs w:val="28"/>
              </w:rPr>
              <w:t>Cao Bằ</w:t>
            </w:r>
            <w:r>
              <w:rPr>
                <w:i/>
                <w:sz w:val="28"/>
                <w:szCs w:val="28"/>
              </w:rPr>
              <w:t xml:space="preserve">ng, ngày 27 </w:t>
            </w:r>
            <w:r w:rsidRPr="003F6481">
              <w:rPr>
                <w:i/>
                <w:sz w:val="28"/>
                <w:szCs w:val="28"/>
              </w:rPr>
              <w:t>tháng 9 năm 2019</w:t>
            </w:r>
          </w:p>
        </w:tc>
      </w:tr>
    </w:tbl>
    <w:p w:rsidR="00AC6C83" w:rsidRDefault="00AC6C83" w:rsidP="0016484C">
      <w:pPr>
        <w:jc w:val="center"/>
        <w:rPr>
          <w:b/>
          <w:sz w:val="28"/>
          <w:szCs w:val="28"/>
        </w:rPr>
      </w:pPr>
    </w:p>
    <w:p w:rsidR="00AC6C83" w:rsidRDefault="00AC6C83" w:rsidP="0016484C">
      <w:pPr>
        <w:jc w:val="center"/>
        <w:rPr>
          <w:b/>
          <w:sz w:val="28"/>
          <w:szCs w:val="28"/>
        </w:rPr>
      </w:pPr>
      <w:r w:rsidRPr="003F6481">
        <w:rPr>
          <w:b/>
          <w:sz w:val="28"/>
          <w:szCs w:val="28"/>
        </w:rPr>
        <w:t>KẾ HOẠCH</w:t>
      </w:r>
    </w:p>
    <w:p w:rsidR="00AC6C83" w:rsidRDefault="00AC6C83" w:rsidP="00AF724E">
      <w:pPr>
        <w:jc w:val="center"/>
        <w:rPr>
          <w:b/>
          <w:sz w:val="28"/>
          <w:szCs w:val="28"/>
        </w:rPr>
      </w:pPr>
      <w:r>
        <w:rPr>
          <w:b/>
          <w:sz w:val="28"/>
          <w:szCs w:val="28"/>
        </w:rPr>
        <w:t>Triển khai thực hiện Kết luận số 49-KL/TW của Ban Bí thư</w:t>
      </w:r>
    </w:p>
    <w:p w:rsidR="00AC6C83" w:rsidRDefault="00AC6C83" w:rsidP="00AF724E">
      <w:pPr>
        <w:jc w:val="center"/>
        <w:rPr>
          <w:b/>
          <w:sz w:val="28"/>
          <w:szCs w:val="28"/>
        </w:rPr>
      </w:pPr>
      <w:r>
        <w:rPr>
          <w:b/>
          <w:sz w:val="28"/>
          <w:szCs w:val="28"/>
        </w:rPr>
        <w:t>về tiếp tục thực hiện Chỉ thị số 11-CT/TW của Bộ Chính trị khoá X</w:t>
      </w:r>
    </w:p>
    <w:p w:rsidR="00AC6C83" w:rsidRDefault="00AC6C83" w:rsidP="00AF724E">
      <w:pPr>
        <w:jc w:val="center"/>
        <w:rPr>
          <w:b/>
          <w:sz w:val="28"/>
          <w:szCs w:val="28"/>
        </w:rPr>
      </w:pPr>
      <w:r>
        <w:rPr>
          <w:b/>
          <w:sz w:val="28"/>
          <w:szCs w:val="28"/>
        </w:rPr>
        <w:t>về tăng cường sự lãnh đạo của Đảng đối với công tác khuyến học,</w:t>
      </w:r>
    </w:p>
    <w:p w:rsidR="00AC6C83" w:rsidRDefault="00AC6C83" w:rsidP="00AF724E">
      <w:pPr>
        <w:jc w:val="center"/>
        <w:rPr>
          <w:b/>
          <w:sz w:val="28"/>
          <w:szCs w:val="28"/>
        </w:rPr>
      </w:pPr>
      <w:r>
        <w:rPr>
          <w:b/>
          <w:sz w:val="28"/>
          <w:szCs w:val="28"/>
        </w:rPr>
        <w:t>khuyến tài, xây dựng xã hội học tập</w:t>
      </w:r>
    </w:p>
    <w:p w:rsidR="00AC6C83" w:rsidRDefault="00AC6C83" w:rsidP="003F6481">
      <w:pPr>
        <w:ind w:firstLine="567"/>
        <w:jc w:val="both"/>
        <w:rPr>
          <w:b/>
          <w:sz w:val="28"/>
          <w:szCs w:val="28"/>
        </w:rPr>
      </w:pPr>
    </w:p>
    <w:p w:rsidR="00AC6C83" w:rsidRPr="00D2575D" w:rsidRDefault="00AC6C83" w:rsidP="003C1132">
      <w:pPr>
        <w:spacing w:before="80"/>
        <w:ind w:firstLine="567"/>
        <w:jc w:val="both"/>
        <w:rPr>
          <w:spacing w:val="-6"/>
          <w:sz w:val="28"/>
          <w:szCs w:val="28"/>
        </w:rPr>
      </w:pPr>
      <w:r w:rsidRPr="00D2575D">
        <w:rPr>
          <w:sz w:val="28"/>
          <w:szCs w:val="28"/>
        </w:rPr>
        <w:t>Căn cứ Kế hoạch số 69/KH-TLĐ, ngày 14/8/2019 của Tổng Liên đoàn Lao động Việt Nam về việc Triển khai thực hiện Kết luận số 49-KL/TW</w:t>
      </w:r>
      <w:r>
        <w:rPr>
          <w:sz w:val="28"/>
          <w:szCs w:val="28"/>
        </w:rPr>
        <w:t xml:space="preserve"> của Ban Bí thư về</w:t>
      </w:r>
      <w:r w:rsidRPr="00D2575D">
        <w:rPr>
          <w:sz w:val="28"/>
          <w:szCs w:val="28"/>
        </w:rPr>
        <w:t xml:space="preserve"> tiếp tục thực hiện Chỉ thị số 11-CT/TW của Bộ Chính trị khoá X về tăng cường sự </w:t>
      </w:r>
      <w:r w:rsidRPr="00D2575D">
        <w:rPr>
          <w:spacing w:val="-6"/>
          <w:sz w:val="28"/>
          <w:szCs w:val="28"/>
        </w:rPr>
        <w:t>lãnh đạo của Đảng đối với công tác khuyến học, khuyến tài, xây dựng xã hội học tập.</w:t>
      </w:r>
    </w:p>
    <w:p w:rsidR="00AC6C83" w:rsidRPr="00D2575D" w:rsidRDefault="00AC6C83" w:rsidP="003C1132">
      <w:pPr>
        <w:spacing w:before="80"/>
        <w:ind w:firstLine="567"/>
        <w:jc w:val="both"/>
        <w:rPr>
          <w:sz w:val="28"/>
          <w:szCs w:val="28"/>
        </w:rPr>
      </w:pPr>
      <w:r w:rsidRPr="00D2575D">
        <w:rPr>
          <w:sz w:val="28"/>
          <w:szCs w:val="28"/>
        </w:rPr>
        <w:t>Liên đoàn Lao động (LĐLĐ) tỉnh triển khai kế hoạch thực hiện như sau:</w:t>
      </w:r>
    </w:p>
    <w:p w:rsidR="00AC6C83" w:rsidRPr="00D2575D" w:rsidRDefault="00AC6C83" w:rsidP="003C1132">
      <w:pPr>
        <w:spacing w:before="80"/>
        <w:ind w:firstLine="567"/>
        <w:jc w:val="both"/>
        <w:rPr>
          <w:b/>
          <w:spacing w:val="-12"/>
          <w:sz w:val="28"/>
          <w:szCs w:val="28"/>
        </w:rPr>
      </w:pPr>
      <w:r w:rsidRPr="00D2575D">
        <w:rPr>
          <w:b/>
          <w:spacing w:val="-12"/>
          <w:sz w:val="28"/>
          <w:szCs w:val="28"/>
        </w:rPr>
        <w:t>I. MỤC ĐÍCH, YÊU CẦU</w:t>
      </w:r>
    </w:p>
    <w:p w:rsidR="00AC6C83" w:rsidRPr="00D2575D" w:rsidRDefault="00AC6C83" w:rsidP="00407CCC">
      <w:pPr>
        <w:spacing w:before="80"/>
        <w:ind w:firstLine="567"/>
        <w:jc w:val="both"/>
        <w:rPr>
          <w:sz w:val="28"/>
          <w:szCs w:val="28"/>
        </w:rPr>
      </w:pPr>
      <w:r w:rsidRPr="00D2575D">
        <w:rPr>
          <w:sz w:val="28"/>
          <w:szCs w:val="28"/>
        </w:rPr>
        <w:t>- Triển khai thực hiện</w:t>
      </w:r>
      <w:r>
        <w:rPr>
          <w:sz w:val="28"/>
          <w:szCs w:val="28"/>
        </w:rPr>
        <w:t xml:space="preserve"> nghiêm túc</w:t>
      </w:r>
      <w:r w:rsidRPr="00D2575D">
        <w:rPr>
          <w:sz w:val="28"/>
          <w:szCs w:val="28"/>
        </w:rPr>
        <w:t xml:space="preserve"> Kết luận số 49-KL/TW về tiếp tục thực hiện Chỉ thị số 11-CT/TW của Bộ Chính trị khoá X về tăng cường sự lãnh đạo của Đảng đối với công tác khuyến học, khuyến tài, xây dựng xã hội học tập gắn với tiếp tục triển khai thực hiện Quyết định số 321/QĐ-TTg,ngày 13/2/2015 của Thủ tướng Chính phủ phê duyệt đề án “Đẩy mạnh các hoạt động học tập suốt đời trong công nhân lao động tại các doanh nghiệp đến năm 2020”.</w:t>
      </w:r>
    </w:p>
    <w:p w:rsidR="00AC6C83" w:rsidRPr="00D2575D" w:rsidRDefault="00AC6C83" w:rsidP="00407CCC">
      <w:pPr>
        <w:spacing w:before="80"/>
        <w:ind w:firstLine="567"/>
        <w:jc w:val="both"/>
        <w:rPr>
          <w:sz w:val="28"/>
          <w:szCs w:val="28"/>
        </w:rPr>
      </w:pPr>
      <w:r>
        <w:rPr>
          <w:sz w:val="28"/>
          <w:szCs w:val="28"/>
        </w:rPr>
        <w:t xml:space="preserve">- </w:t>
      </w:r>
      <w:r w:rsidRPr="00D2575D">
        <w:rPr>
          <w:sz w:val="28"/>
          <w:szCs w:val="28"/>
        </w:rPr>
        <w:t>Phát huy kết quả đã đạt được, khắc phục những hạn chế của công tác khuyến học, khuyến tài, xây dựng xã hội học tập, trong đó đặc biệt chú trọng công tác đào tạo cán bộ công đoàn, nâng cao trình độ học vấn, chuyên môn, nghiệp vụ, kỹ năng nghề nghiệp, kiến thức pháp luật, ngoại ngữ, tin học, kỹ năng sống…của đoàn viên và người lao động (NLĐ).</w:t>
      </w:r>
    </w:p>
    <w:p w:rsidR="00AC6C83" w:rsidRPr="00D2575D" w:rsidRDefault="00AC6C83" w:rsidP="003C1132">
      <w:pPr>
        <w:spacing w:before="80"/>
        <w:ind w:firstLine="567"/>
        <w:jc w:val="both"/>
        <w:rPr>
          <w:sz w:val="28"/>
          <w:szCs w:val="28"/>
        </w:rPr>
      </w:pPr>
      <w:r w:rsidRPr="00D2575D">
        <w:rPr>
          <w:sz w:val="28"/>
          <w:szCs w:val="28"/>
        </w:rPr>
        <w:t>- Tranh thủ sự lãnh đạo của các cấp uỷ Đảng, chính quyền; chủ động phối hợp với các cơ quan chức năng trên địa bàn; theo dõi, đôn đốc, kiểm tra và kịp thời giải quyết những khó khăn, vướng mắc trong quá trình triển khai thực hiện công tác khuyến học, khuyến tài, xây dựng xã hội học tập.</w:t>
      </w:r>
    </w:p>
    <w:p w:rsidR="00AC6C83" w:rsidRPr="00D2575D" w:rsidRDefault="00AC6C83" w:rsidP="003C1132">
      <w:pPr>
        <w:spacing w:before="80"/>
        <w:ind w:firstLine="567"/>
        <w:jc w:val="both"/>
        <w:rPr>
          <w:b/>
          <w:sz w:val="28"/>
          <w:szCs w:val="28"/>
        </w:rPr>
      </w:pPr>
      <w:r w:rsidRPr="00D2575D">
        <w:rPr>
          <w:b/>
          <w:sz w:val="28"/>
          <w:szCs w:val="28"/>
        </w:rPr>
        <w:t>II. NỘI DUNG</w:t>
      </w:r>
    </w:p>
    <w:p w:rsidR="00AC6C83" w:rsidRPr="00D2575D" w:rsidRDefault="00AC6C83" w:rsidP="003C1132">
      <w:pPr>
        <w:spacing w:before="80"/>
        <w:ind w:firstLine="567"/>
        <w:jc w:val="both"/>
        <w:rPr>
          <w:sz w:val="28"/>
          <w:szCs w:val="28"/>
        </w:rPr>
      </w:pPr>
      <w:r w:rsidRPr="00D2575D">
        <w:rPr>
          <w:sz w:val="28"/>
          <w:szCs w:val="28"/>
        </w:rPr>
        <w:t>1.Tuyên truyền để</w:t>
      </w:r>
      <w:r>
        <w:rPr>
          <w:sz w:val="28"/>
          <w:szCs w:val="28"/>
        </w:rPr>
        <w:t xml:space="preserve"> đoàn viên và NLĐ </w:t>
      </w:r>
      <w:r w:rsidRPr="00D2575D">
        <w:rPr>
          <w:sz w:val="28"/>
          <w:szCs w:val="28"/>
        </w:rPr>
        <w:t xml:space="preserve">nhận thức rõ về sự cần thiết, tầm quan trọng của việc học tập nâng cao trình độ học vấn, chuyên môn nghiệp vụ, kỹ năng nghề nghiệp, kiến thức pháp luật, ngoại ngữ, tin học, kỹ năng sống…, từ đó vận động đoàn viên, </w:t>
      </w:r>
      <w:r>
        <w:rPr>
          <w:sz w:val="28"/>
          <w:szCs w:val="28"/>
        </w:rPr>
        <w:t>NLĐ</w:t>
      </w:r>
      <w:r w:rsidRPr="00D2575D">
        <w:rPr>
          <w:sz w:val="28"/>
          <w:szCs w:val="28"/>
        </w:rPr>
        <w:t xml:space="preserve"> tích cực học tập, nâng cao trình độ</w:t>
      </w:r>
      <w:r>
        <w:rPr>
          <w:sz w:val="28"/>
          <w:szCs w:val="28"/>
        </w:rPr>
        <w:t xml:space="preserve"> để lập thân, lập nghiệp; </w:t>
      </w:r>
      <w:r w:rsidRPr="00D2575D">
        <w:rPr>
          <w:sz w:val="28"/>
          <w:szCs w:val="28"/>
        </w:rPr>
        <w:t>nâng cao năng suất lao động và chất lượng, hiệu quả trong công việc; góp phần giữ vững việc làm ổn định, cải thiện cuộc sống; trở thành tấm gương cho con cái và gia đình noi theo.</w:t>
      </w:r>
    </w:p>
    <w:p w:rsidR="00AC6C83" w:rsidRPr="00D2575D" w:rsidRDefault="00AC6C83" w:rsidP="003C1132">
      <w:pPr>
        <w:spacing w:before="80"/>
        <w:ind w:firstLine="567"/>
        <w:jc w:val="both"/>
        <w:rPr>
          <w:sz w:val="28"/>
          <w:szCs w:val="28"/>
        </w:rPr>
      </w:pPr>
      <w:r w:rsidRPr="00D2575D">
        <w:rPr>
          <w:sz w:val="28"/>
          <w:szCs w:val="28"/>
        </w:rPr>
        <w:t xml:space="preserve">2. Phổ biến, quán triệt nội dung Kết luận số 49-KL/TW về tiếp tục thực hiện Chỉ thị số 11-CT/TW của Bộ Chính trị khoá X về tăng cường sự lãnh đạo của Đảng đối với công tác khuyến học, khuyến tài, xây dựng xã hội học tập đến các cấp công đoàn; phấn đấu mỗi cơ quan, đơn vị trở thành </w:t>
      </w:r>
      <w:r>
        <w:rPr>
          <w:sz w:val="28"/>
          <w:szCs w:val="28"/>
        </w:rPr>
        <w:t xml:space="preserve">cơ quan, </w:t>
      </w:r>
      <w:r w:rsidRPr="00D2575D">
        <w:rPr>
          <w:sz w:val="28"/>
          <w:szCs w:val="28"/>
        </w:rPr>
        <w:t xml:space="preserve">đơn vị học tập; mỗi cán bộ, đoàn viên, </w:t>
      </w:r>
      <w:r>
        <w:rPr>
          <w:sz w:val="28"/>
          <w:szCs w:val="28"/>
        </w:rPr>
        <w:t xml:space="preserve">CNVCLĐ </w:t>
      </w:r>
      <w:r w:rsidRPr="00D2575D">
        <w:rPr>
          <w:sz w:val="28"/>
          <w:szCs w:val="28"/>
        </w:rPr>
        <w:t>và gia đình trở thành công dân học tập và gia đình học tập.</w:t>
      </w:r>
    </w:p>
    <w:p w:rsidR="00AC6C83" w:rsidRPr="00D2575D" w:rsidRDefault="00AC6C83" w:rsidP="003C1132">
      <w:pPr>
        <w:spacing w:before="80"/>
        <w:ind w:firstLine="567"/>
        <w:jc w:val="both"/>
        <w:rPr>
          <w:sz w:val="28"/>
          <w:szCs w:val="28"/>
        </w:rPr>
      </w:pPr>
      <w:r w:rsidRPr="00D2575D">
        <w:rPr>
          <w:sz w:val="28"/>
          <w:szCs w:val="28"/>
        </w:rPr>
        <w:t>Tuyên truyền, phản ánh những mô hình hay, cách làm tốt của cơ sở, nhữ</w:t>
      </w:r>
      <w:r>
        <w:rPr>
          <w:sz w:val="28"/>
          <w:szCs w:val="28"/>
        </w:rPr>
        <w:t>ng gương CNVCLĐ</w:t>
      </w:r>
      <w:r w:rsidRPr="00D2575D">
        <w:rPr>
          <w:sz w:val="28"/>
          <w:szCs w:val="28"/>
        </w:rPr>
        <w:t xml:space="preserve"> hiếu học trên các phương tiện thông tin đạ</w:t>
      </w:r>
      <w:r>
        <w:rPr>
          <w:sz w:val="28"/>
          <w:szCs w:val="28"/>
        </w:rPr>
        <w:t>i chúng của tổ chức công đoàn, trên các chuyên trang, chuyên mục phối hợp giữa LĐLĐ tỉnh với Báo Cao Bằng và Đài phát thanh – truyền hình tỉnh…</w:t>
      </w:r>
    </w:p>
    <w:p w:rsidR="00AC6C83" w:rsidRPr="00D2575D" w:rsidRDefault="00AC6C83" w:rsidP="003C1132">
      <w:pPr>
        <w:spacing w:before="80"/>
        <w:ind w:firstLine="567"/>
        <w:jc w:val="both"/>
        <w:rPr>
          <w:sz w:val="28"/>
          <w:szCs w:val="28"/>
        </w:rPr>
      </w:pPr>
      <w:r w:rsidRPr="00D2575D">
        <w:rPr>
          <w:sz w:val="28"/>
          <w:szCs w:val="28"/>
        </w:rPr>
        <w:t>3. Đẩy mạnh công tác đào tạo, bồi dưỡng bắt buộc về chuyên môn, nghiệp vụ, lý luận chính trị, ngoại ngữ, tin học, phương pháp hoạt động công đoàn đối với cán bộ công đoàn chuyên trách phù hợp với vị trí việc làm và chức danh.</w:t>
      </w:r>
    </w:p>
    <w:p w:rsidR="00AC6C83" w:rsidRPr="00D2575D" w:rsidRDefault="00AC6C83" w:rsidP="003C1132">
      <w:pPr>
        <w:spacing w:before="80"/>
        <w:ind w:firstLine="567"/>
        <w:jc w:val="both"/>
        <w:rPr>
          <w:sz w:val="28"/>
          <w:szCs w:val="28"/>
        </w:rPr>
      </w:pPr>
      <w:r w:rsidRPr="00D2575D">
        <w:rPr>
          <w:sz w:val="28"/>
          <w:szCs w:val="28"/>
        </w:rPr>
        <w:t xml:space="preserve"> Bồi dưỡng nâng cao nhận thức về vị trí, vai trò của tổ chức Công đoàn Việt Nam, đặc biệt là chức năng đại diện, chăm lo, bảo vệ quyền và lợi ích hợp pháp, chính đáng của đoàn vi</w:t>
      </w:r>
      <w:r>
        <w:rPr>
          <w:sz w:val="28"/>
          <w:szCs w:val="28"/>
        </w:rPr>
        <w:t>ên và người lao động; kiến thức pháp luật, phương pháp hoạt động công đoàn… đối với cán bộ công đoàn cơ sở.</w:t>
      </w:r>
    </w:p>
    <w:p w:rsidR="00AC6C83" w:rsidRPr="00D2575D" w:rsidRDefault="00AC6C83" w:rsidP="003C1132">
      <w:pPr>
        <w:spacing w:before="80"/>
        <w:ind w:firstLine="567"/>
        <w:jc w:val="both"/>
        <w:rPr>
          <w:sz w:val="28"/>
          <w:szCs w:val="28"/>
        </w:rPr>
      </w:pPr>
      <w:r w:rsidRPr="00D2575D">
        <w:rPr>
          <w:sz w:val="28"/>
          <w:szCs w:val="28"/>
        </w:rPr>
        <w:t>4.Tiếp tục triển khai thực hiện có hiệu quả Quyết định số</w:t>
      </w:r>
      <w:r>
        <w:rPr>
          <w:sz w:val="28"/>
          <w:szCs w:val="28"/>
        </w:rPr>
        <w:t xml:space="preserve"> 231/QĐ-TTg </w:t>
      </w:r>
      <w:r w:rsidRPr="00D2575D">
        <w:rPr>
          <w:sz w:val="28"/>
          <w:szCs w:val="28"/>
        </w:rPr>
        <w:t>ngày 13/2/2015 của Thủ tướng Chính phủ phê duyệ</w:t>
      </w:r>
      <w:r>
        <w:rPr>
          <w:sz w:val="28"/>
          <w:szCs w:val="28"/>
        </w:rPr>
        <w:t>t Đ</w:t>
      </w:r>
      <w:r w:rsidRPr="00D2575D">
        <w:rPr>
          <w:sz w:val="28"/>
          <w:szCs w:val="28"/>
        </w:rPr>
        <w:t>ề án “Đẩy mạnh các hoạt động học tập suốt đờ</w:t>
      </w:r>
      <w:r>
        <w:rPr>
          <w:sz w:val="28"/>
          <w:szCs w:val="28"/>
        </w:rPr>
        <w:t>i trong công nhân lao động</w:t>
      </w:r>
      <w:r w:rsidRPr="00D2575D">
        <w:rPr>
          <w:sz w:val="28"/>
          <w:szCs w:val="28"/>
        </w:rPr>
        <w:t xml:space="preserve"> tại các doanh nghiệp đến năm 2020”; Nâng cao chất lượng hoạt động phối hợp với các cơ quan chức năng liên quan, Hội Khuyến học các cấp trong công tác khuyến học, khuyến tài, xây dựng xã hội học tập.</w:t>
      </w:r>
    </w:p>
    <w:p w:rsidR="00AC6C83" w:rsidRPr="00D2575D" w:rsidRDefault="00AC6C83" w:rsidP="003C1132">
      <w:pPr>
        <w:spacing w:before="80"/>
        <w:ind w:firstLine="567"/>
        <w:jc w:val="both"/>
        <w:rPr>
          <w:sz w:val="28"/>
          <w:szCs w:val="28"/>
        </w:rPr>
      </w:pPr>
      <w:r w:rsidRPr="00D2575D">
        <w:rPr>
          <w:sz w:val="28"/>
          <w:szCs w:val="28"/>
        </w:rPr>
        <w:t>5. Vận động người sử dụng lao động tạo điều kiện để</w:t>
      </w:r>
      <w:r>
        <w:rPr>
          <w:sz w:val="28"/>
          <w:szCs w:val="28"/>
        </w:rPr>
        <w:t xml:space="preserve"> công nhân lao động</w:t>
      </w:r>
      <w:r w:rsidRPr="00D2575D">
        <w:rPr>
          <w:sz w:val="28"/>
          <w:szCs w:val="28"/>
        </w:rPr>
        <w:t xml:space="preserve"> được học tập nâng cao trình độ học vấn, ngoại ngữ, tin học, kỹ năng nghề nghiệp, kỹ năng sống… phù hợp với mong muốn củ</w:t>
      </w:r>
      <w:r>
        <w:rPr>
          <w:sz w:val="28"/>
          <w:szCs w:val="28"/>
        </w:rPr>
        <w:t>a người lao động</w:t>
      </w:r>
      <w:r w:rsidRPr="00D2575D">
        <w:rPr>
          <w:sz w:val="28"/>
          <w:szCs w:val="28"/>
        </w:rPr>
        <w:t xml:space="preserve"> và điều kiện của doanh nghiệp; Vận động người sử dụng lao động xây dựng quỹ khuyến học, khuyến tài hỗ trợ công nhân và con em công nhân nghèo hiếu học.</w:t>
      </w:r>
    </w:p>
    <w:p w:rsidR="00AC6C83" w:rsidRPr="00D2575D" w:rsidRDefault="00AC6C83" w:rsidP="003C1132">
      <w:pPr>
        <w:spacing w:before="80"/>
        <w:ind w:firstLine="567"/>
        <w:jc w:val="both"/>
        <w:rPr>
          <w:sz w:val="28"/>
          <w:szCs w:val="28"/>
        </w:rPr>
      </w:pPr>
      <w:r w:rsidRPr="00D2575D">
        <w:rPr>
          <w:sz w:val="28"/>
          <w:szCs w:val="28"/>
        </w:rPr>
        <w:t>6. Theo dõi, đôn đốc, kiểm tra việc triển khai thực hiện Kết luận số 49-KL/TW về tiếp tục thực hiện Chỉ thị 11-CT/TW của Bộ Chính trị; xây dự</w:t>
      </w:r>
      <w:r>
        <w:rPr>
          <w:sz w:val="28"/>
          <w:szCs w:val="28"/>
        </w:rPr>
        <w:t>ng mô hình “Đ</w:t>
      </w:r>
      <w:r w:rsidRPr="00D2575D">
        <w:rPr>
          <w:sz w:val="28"/>
          <w:szCs w:val="28"/>
        </w:rPr>
        <w:t>ơn vị học tập”; phát hiện và nhân rộng những tấm gương tập thể, cá nhân tiêu biểu trong triển khai thực hiện công tác khuyến học, khuyến tài, xây dựng xã hội học tập.</w:t>
      </w:r>
    </w:p>
    <w:p w:rsidR="00AC6C83" w:rsidRPr="00D2575D" w:rsidRDefault="00AC6C83" w:rsidP="003C1132">
      <w:pPr>
        <w:spacing w:before="80"/>
        <w:ind w:firstLine="567"/>
        <w:jc w:val="both"/>
        <w:rPr>
          <w:b/>
          <w:sz w:val="28"/>
          <w:szCs w:val="28"/>
        </w:rPr>
      </w:pPr>
      <w:r w:rsidRPr="00D2575D">
        <w:rPr>
          <w:b/>
          <w:sz w:val="28"/>
          <w:szCs w:val="28"/>
        </w:rPr>
        <w:t>III. TỔ CHỨC THỰC HIỆN</w:t>
      </w:r>
    </w:p>
    <w:p w:rsidR="00AC6C83" w:rsidRPr="00D2575D" w:rsidRDefault="00AC6C83" w:rsidP="003C1132">
      <w:pPr>
        <w:spacing w:before="80"/>
        <w:ind w:firstLine="567"/>
        <w:jc w:val="both"/>
        <w:rPr>
          <w:b/>
          <w:sz w:val="28"/>
          <w:szCs w:val="28"/>
        </w:rPr>
      </w:pPr>
      <w:r w:rsidRPr="00D2575D">
        <w:rPr>
          <w:b/>
          <w:sz w:val="28"/>
          <w:szCs w:val="28"/>
        </w:rPr>
        <w:t>1. Liên đoàn Lao động tỉnh</w:t>
      </w:r>
    </w:p>
    <w:p w:rsidR="00AC6C83" w:rsidRPr="00D2575D" w:rsidRDefault="00AC6C83" w:rsidP="003C1132">
      <w:pPr>
        <w:spacing w:before="80"/>
        <w:ind w:firstLine="567"/>
        <w:jc w:val="both"/>
        <w:rPr>
          <w:sz w:val="28"/>
          <w:szCs w:val="28"/>
        </w:rPr>
      </w:pPr>
      <w:r w:rsidRPr="00D2575D">
        <w:rPr>
          <w:sz w:val="28"/>
          <w:szCs w:val="28"/>
        </w:rPr>
        <w:t xml:space="preserve">- Ban hành Kế hoạch </w:t>
      </w:r>
      <w:r>
        <w:rPr>
          <w:sz w:val="28"/>
          <w:szCs w:val="28"/>
        </w:rPr>
        <w:t xml:space="preserve">hướng dẫn </w:t>
      </w:r>
      <w:r w:rsidRPr="00D2575D">
        <w:rPr>
          <w:sz w:val="28"/>
          <w:szCs w:val="28"/>
        </w:rPr>
        <w:t>triển khai thực hiện Kết luận số 49-KL/TW của Ban Bí thư về tiếp tục thực hiện Chỉ thị số 11-CT/TW của Bộ Chính trị khoá X về tăng cường sự lãnh đạo của Đảng đối với công tác khuyến học, khuyến tài, xây dựng xã hội học tập trong hệ thống công đoàn toàn tỉnh.</w:t>
      </w:r>
    </w:p>
    <w:p w:rsidR="00AC6C83" w:rsidRDefault="00AC6C83" w:rsidP="003C1132">
      <w:pPr>
        <w:spacing w:before="80"/>
        <w:ind w:firstLine="567"/>
        <w:jc w:val="both"/>
        <w:rPr>
          <w:sz w:val="28"/>
          <w:szCs w:val="28"/>
        </w:rPr>
      </w:pPr>
      <w:r>
        <w:rPr>
          <w:sz w:val="28"/>
          <w:szCs w:val="28"/>
        </w:rPr>
        <w:t>- Hướng dẫn các cấp công đoàn t</w:t>
      </w:r>
      <w:r w:rsidRPr="00D2575D">
        <w:rPr>
          <w:sz w:val="28"/>
          <w:szCs w:val="28"/>
        </w:rPr>
        <w:t>uyên truyền</w:t>
      </w:r>
      <w:r>
        <w:rPr>
          <w:sz w:val="28"/>
          <w:szCs w:val="28"/>
        </w:rPr>
        <w:t xml:space="preserve">, vận động công nhân lao động học tập nâng cao trình độ mọi mặt; vận động người sử dụng lao động tạo điều kiện để công nhân lao động được tham gia các lớp nâng cao trình độ mọi mặt và xây dựng quỹ khuyến học, khuyến tài hỗ trợ công nhân và con công nhân nghèo hiếu học. </w:t>
      </w:r>
      <w:r w:rsidRPr="00D2575D">
        <w:rPr>
          <w:sz w:val="28"/>
          <w:szCs w:val="28"/>
        </w:rPr>
        <w:t xml:space="preserve"> </w:t>
      </w:r>
    </w:p>
    <w:p w:rsidR="00AC6C83" w:rsidRDefault="00AC6C83" w:rsidP="003C1132">
      <w:pPr>
        <w:spacing w:before="80"/>
        <w:ind w:firstLine="567"/>
        <w:jc w:val="both"/>
        <w:rPr>
          <w:sz w:val="28"/>
          <w:szCs w:val="28"/>
        </w:rPr>
      </w:pPr>
      <w:r w:rsidRPr="00D2575D">
        <w:rPr>
          <w:sz w:val="28"/>
          <w:szCs w:val="28"/>
        </w:rPr>
        <w:t xml:space="preserve">- </w:t>
      </w:r>
      <w:r>
        <w:rPr>
          <w:sz w:val="28"/>
          <w:szCs w:val="28"/>
        </w:rPr>
        <w:t>Đôn đốc, kiểm tra, tổng hợp kết quả</w:t>
      </w:r>
      <w:r w:rsidRPr="00D2575D">
        <w:rPr>
          <w:sz w:val="28"/>
          <w:szCs w:val="28"/>
        </w:rPr>
        <w:t xml:space="preserve"> triển khai thực hiện Kết luận số</w:t>
      </w:r>
      <w:r>
        <w:rPr>
          <w:sz w:val="28"/>
          <w:szCs w:val="28"/>
        </w:rPr>
        <w:t xml:space="preserve"> 49-KL/TW của Ban Bí thư.</w:t>
      </w:r>
    </w:p>
    <w:p w:rsidR="00AC6C83" w:rsidRPr="00D2575D" w:rsidRDefault="00AC6C83" w:rsidP="003C1132">
      <w:pPr>
        <w:spacing w:before="80"/>
        <w:ind w:firstLine="567"/>
        <w:jc w:val="both"/>
        <w:rPr>
          <w:b/>
          <w:spacing w:val="-12"/>
          <w:sz w:val="28"/>
          <w:szCs w:val="28"/>
        </w:rPr>
      </w:pPr>
      <w:r>
        <w:rPr>
          <w:b/>
          <w:spacing w:val="-12"/>
          <w:sz w:val="28"/>
          <w:szCs w:val="28"/>
        </w:rPr>
        <w:t xml:space="preserve">2. Liên đoàn Lao động </w:t>
      </w:r>
      <w:r w:rsidRPr="00D2575D">
        <w:rPr>
          <w:b/>
          <w:spacing w:val="-12"/>
          <w:sz w:val="28"/>
          <w:szCs w:val="28"/>
        </w:rPr>
        <w:t>các huyện, thành phố, Công đoàn ngành, công đoàn cơ sở trực thuộc</w:t>
      </w:r>
    </w:p>
    <w:p w:rsidR="00AC6C83" w:rsidRPr="00D2575D" w:rsidRDefault="00AC6C83" w:rsidP="003C1132">
      <w:pPr>
        <w:spacing w:before="80"/>
        <w:ind w:firstLine="567"/>
        <w:jc w:val="both"/>
        <w:rPr>
          <w:color w:val="000000"/>
          <w:spacing w:val="-6"/>
          <w:sz w:val="28"/>
          <w:szCs w:val="28"/>
        </w:rPr>
      </w:pPr>
      <w:r>
        <w:rPr>
          <w:color w:val="000000"/>
          <w:sz w:val="28"/>
          <w:szCs w:val="28"/>
        </w:rPr>
        <w:t xml:space="preserve">- Nghiêm túc </w:t>
      </w:r>
      <w:r w:rsidRPr="00D2575D">
        <w:rPr>
          <w:color w:val="000000"/>
          <w:sz w:val="28"/>
          <w:szCs w:val="28"/>
        </w:rPr>
        <w:t xml:space="preserve">triển khai thực hiện Kế hoạch của LĐLĐ tỉnh về triển khai thực hiện Kết luận số 49-KL/TW. </w:t>
      </w:r>
    </w:p>
    <w:p w:rsidR="00AC6C83" w:rsidRPr="00D2575D" w:rsidRDefault="00AC6C83" w:rsidP="003C1132">
      <w:pPr>
        <w:spacing w:before="80"/>
        <w:ind w:firstLine="567"/>
        <w:jc w:val="both"/>
        <w:rPr>
          <w:sz w:val="28"/>
          <w:szCs w:val="28"/>
        </w:rPr>
      </w:pPr>
      <w:r w:rsidRPr="00D2575D">
        <w:rPr>
          <w:sz w:val="28"/>
          <w:szCs w:val="28"/>
        </w:rPr>
        <w:t>- Tranh thủ sự lãnh đạo của các cấp uỷ Đảng, chính quyền; chủ động phối hợp với các cơ quan chức năng trong công tác khuyến học, khuyến tài, xây dựng xã hội học tập.</w:t>
      </w:r>
    </w:p>
    <w:p w:rsidR="00AC6C83" w:rsidRPr="00D2575D" w:rsidRDefault="00AC6C83" w:rsidP="003C1132">
      <w:pPr>
        <w:spacing w:before="80"/>
        <w:ind w:firstLine="567"/>
        <w:jc w:val="both"/>
        <w:rPr>
          <w:sz w:val="28"/>
          <w:szCs w:val="28"/>
        </w:rPr>
      </w:pPr>
      <w:r>
        <w:rPr>
          <w:sz w:val="28"/>
          <w:szCs w:val="28"/>
        </w:rPr>
        <w:t>- Đẩy mạnh công tác t</w:t>
      </w:r>
      <w:r w:rsidRPr="00D2575D">
        <w:rPr>
          <w:sz w:val="28"/>
          <w:szCs w:val="28"/>
        </w:rPr>
        <w:t>uyên truyền</w:t>
      </w:r>
      <w:r>
        <w:rPr>
          <w:sz w:val="28"/>
          <w:szCs w:val="28"/>
        </w:rPr>
        <w:t>, vận động công nhân lao động học tập nâng cao trình độ mọi mặt, kiến thức pháp luật, kỹ năng sống…</w:t>
      </w:r>
    </w:p>
    <w:p w:rsidR="00AC6C83" w:rsidRPr="00D2575D" w:rsidRDefault="00AC6C83" w:rsidP="003C1132">
      <w:pPr>
        <w:spacing w:before="80"/>
        <w:ind w:firstLine="567"/>
        <w:jc w:val="both"/>
        <w:rPr>
          <w:sz w:val="28"/>
          <w:szCs w:val="28"/>
        </w:rPr>
      </w:pPr>
      <w:r w:rsidRPr="00D2575D">
        <w:rPr>
          <w:sz w:val="28"/>
          <w:szCs w:val="28"/>
        </w:rPr>
        <w:t>- Theo dõi, đôn đốc, kiểm tra việc triển khai thực hiện Kết luận số</w:t>
      </w:r>
      <w:r>
        <w:rPr>
          <w:sz w:val="28"/>
          <w:szCs w:val="28"/>
        </w:rPr>
        <w:t xml:space="preserve"> 49-KL</w:t>
      </w:r>
      <w:r w:rsidRPr="00D2575D">
        <w:rPr>
          <w:sz w:val="28"/>
          <w:szCs w:val="28"/>
        </w:rPr>
        <w:t>/TW; phát hiện, biểu dương, nhân rộng những tấm gương tập thể, cá nhân tiêu biểu trong triển khai thực hiện công tác khuyến học, khuyến tài, xây dựng xã hội học tập.</w:t>
      </w:r>
    </w:p>
    <w:p w:rsidR="00AC6C83" w:rsidRDefault="00AC6C83" w:rsidP="003C1132">
      <w:pPr>
        <w:shd w:val="clear" w:color="auto" w:fill="FFFFFF"/>
        <w:spacing w:before="80"/>
        <w:ind w:firstLine="720"/>
        <w:jc w:val="both"/>
        <w:rPr>
          <w:color w:val="000000"/>
          <w:sz w:val="28"/>
          <w:szCs w:val="28"/>
        </w:rPr>
      </w:pPr>
      <w:r w:rsidRPr="00D2575D">
        <w:rPr>
          <w:sz w:val="28"/>
          <w:szCs w:val="28"/>
        </w:rPr>
        <w:t>Đề nghị</w:t>
      </w:r>
      <w:r>
        <w:rPr>
          <w:sz w:val="28"/>
          <w:szCs w:val="28"/>
        </w:rPr>
        <w:t xml:space="preserve"> các cấp công đoàn xây dựng kế hoạch </w:t>
      </w:r>
      <w:r w:rsidRPr="00D2575D">
        <w:rPr>
          <w:sz w:val="28"/>
          <w:szCs w:val="28"/>
        </w:rPr>
        <w:t xml:space="preserve">triển khai </w:t>
      </w:r>
      <w:r>
        <w:rPr>
          <w:sz w:val="28"/>
          <w:szCs w:val="28"/>
        </w:rPr>
        <w:t xml:space="preserve">phù hợp với </w:t>
      </w:r>
      <w:r w:rsidRPr="00A630D5">
        <w:rPr>
          <w:sz w:val="28"/>
          <w:szCs w:val="28"/>
        </w:rPr>
        <w:t xml:space="preserve">điều kiện, đặc điểm, tình hình thực tế tại cơ quan đơn vị mình </w:t>
      </w:r>
      <w:r>
        <w:rPr>
          <w:sz w:val="28"/>
          <w:szCs w:val="28"/>
        </w:rPr>
        <w:t xml:space="preserve">và báo cáo kết quả đánh giá thực hiện hàng năm trong cùng báo cáo </w:t>
      </w:r>
      <w:r w:rsidRPr="00A630D5">
        <w:rPr>
          <w:color w:val="000000"/>
          <w:sz w:val="28"/>
          <w:szCs w:val="28"/>
        </w:rPr>
        <w:t>6 tháng</w:t>
      </w:r>
      <w:r>
        <w:rPr>
          <w:color w:val="000000"/>
          <w:sz w:val="28"/>
          <w:szCs w:val="28"/>
        </w:rPr>
        <w:t xml:space="preserve"> và năm</w:t>
      </w:r>
      <w:r w:rsidRPr="00A630D5">
        <w:rPr>
          <w:color w:val="000000"/>
          <w:sz w:val="28"/>
          <w:szCs w:val="28"/>
        </w:rPr>
        <w:t xml:space="preserve"> </w:t>
      </w:r>
      <w:r>
        <w:rPr>
          <w:color w:val="000000"/>
          <w:sz w:val="28"/>
          <w:szCs w:val="28"/>
        </w:rPr>
        <w:t>theo quy định gửi về LĐLĐ tỉnh để tổng hợp./.</w:t>
      </w:r>
    </w:p>
    <w:p w:rsidR="00AC6C83" w:rsidRPr="00D2575D" w:rsidRDefault="00AC6C83" w:rsidP="00FD5C70">
      <w:pPr>
        <w:shd w:val="clear" w:color="auto" w:fill="FFFFFF"/>
        <w:ind w:firstLine="720"/>
        <w:jc w:val="both"/>
        <w:rPr>
          <w:sz w:val="28"/>
          <w:szCs w:val="28"/>
        </w:rPr>
      </w:pPr>
    </w:p>
    <w:tbl>
      <w:tblPr>
        <w:tblW w:w="9075" w:type="dxa"/>
        <w:tblLook w:val="0000"/>
      </w:tblPr>
      <w:tblGrid>
        <w:gridCol w:w="5027"/>
        <w:gridCol w:w="4048"/>
      </w:tblGrid>
      <w:tr w:rsidR="00AC6C83" w:rsidRPr="003D09DA" w:rsidTr="00E038EB">
        <w:tc>
          <w:tcPr>
            <w:tcW w:w="5027" w:type="dxa"/>
          </w:tcPr>
          <w:p w:rsidR="00AC6C83" w:rsidRPr="006B612D" w:rsidRDefault="00AC6C83" w:rsidP="00446FB8">
            <w:pPr>
              <w:pStyle w:val="BodyTextIndent"/>
              <w:ind w:firstLine="0"/>
              <w:rPr>
                <w:rFonts w:ascii="Times New Roman" w:hAnsi="Times New Roman"/>
                <w:b/>
                <w:i/>
                <w:iCs/>
                <w:szCs w:val="24"/>
              </w:rPr>
            </w:pPr>
            <w:bookmarkStart w:id="0" w:name="_GoBack"/>
            <w:bookmarkEnd w:id="0"/>
          </w:p>
          <w:p w:rsidR="00AC6C83" w:rsidRPr="001868DA" w:rsidRDefault="00AC6C83" w:rsidP="001868DA">
            <w:pPr>
              <w:pStyle w:val="BodyTextIndent"/>
              <w:ind w:firstLine="0"/>
              <w:rPr>
                <w:rFonts w:ascii="Times New Roman" w:hAnsi="Times New Roman"/>
                <w:b/>
                <w:i/>
              </w:rPr>
            </w:pPr>
            <w:r w:rsidRPr="001868DA">
              <w:rPr>
                <w:rFonts w:ascii="Times New Roman" w:hAnsi="Times New Roman"/>
                <w:b/>
                <w:i/>
              </w:rPr>
              <w:t>Nơi nhận:</w:t>
            </w:r>
          </w:p>
          <w:p w:rsidR="00AC6C83" w:rsidRPr="001868DA" w:rsidRDefault="00AC6C83" w:rsidP="001868DA">
            <w:pPr>
              <w:pStyle w:val="BodyTextIndent"/>
              <w:ind w:firstLine="0"/>
              <w:rPr>
                <w:rFonts w:ascii="Times New Roman" w:hAnsi="Times New Roman"/>
                <w:b/>
                <w:i/>
                <w:iCs/>
                <w:szCs w:val="24"/>
                <w:u w:val="single"/>
              </w:rPr>
            </w:pPr>
            <w:r w:rsidRPr="001868DA">
              <w:rPr>
                <w:rFonts w:ascii="Times New Roman" w:hAnsi="Times New Roman"/>
                <w:b/>
              </w:rPr>
              <w:t xml:space="preserve">- </w:t>
            </w:r>
            <w:r w:rsidRPr="001868DA">
              <w:rPr>
                <w:rFonts w:ascii="Times New Roman" w:hAnsi="Times New Roman"/>
              </w:rPr>
              <w:t xml:space="preserve">Thường trực LĐLĐ tỉnh; </w:t>
            </w:r>
          </w:p>
          <w:p w:rsidR="00AC6C83" w:rsidRPr="001868DA" w:rsidRDefault="00AC6C83" w:rsidP="001868DA">
            <w:pPr>
              <w:pStyle w:val="BodyTextIndent"/>
              <w:ind w:firstLine="0"/>
              <w:rPr>
                <w:rFonts w:ascii="Times New Roman" w:hAnsi="Times New Roman"/>
                <w:iCs/>
                <w:szCs w:val="24"/>
              </w:rPr>
            </w:pPr>
            <w:r>
              <w:rPr>
                <w:sz w:val="22"/>
              </w:rPr>
              <w:t xml:space="preserve">- </w:t>
            </w:r>
            <w:r>
              <w:rPr>
                <w:rFonts w:ascii="Times New Roman" w:hAnsi="Times New Roman"/>
                <w:iCs/>
                <w:sz w:val="22"/>
                <w:szCs w:val="24"/>
              </w:rPr>
              <w:t>Các Ban chuyên đề LĐLĐ tỉnh;</w:t>
            </w:r>
            <w:r w:rsidRPr="001868DA">
              <w:rPr>
                <w:rFonts w:ascii="Times New Roman" w:hAnsi="Times New Roman"/>
                <w:iCs/>
                <w:sz w:val="22"/>
                <w:szCs w:val="24"/>
              </w:rPr>
              <w:t xml:space="preserve"> </w:t>
            </w:r>
          </w:p>
          <w:p w:rsidR="00AC6C83" w:rsidRPr="001868DA" w:rsidRDefault="00AC6C83" w:rsidP="00FD5C70">
            <w:pPr>
              <w:jc w:val="both"/>
            </w:pPr>
            <w:r>
              <w:rPr>
                <w:sz w:val="22"/>
              </w:rPr>
              <w:t xml:space="preserve">- LĐLĐ các huyện, TP, CĐN, </w:t>
            </w:r>
          </w:p>
          <w:p w:rsidR="00AC6C83" w:rsidRPr="001868DA" w:rsidRDefault="00AC6C83" w:rsidP="00FD5C70">
            <w:pPr>
              <w:jc w:val="both"/>
            </w:pPr>
            <w:r w:rsidRPr="001868DA">
              <w:rPr>
                <w:sz w:val="22"/>
              </w:rPr>
              <w:t xml:space="preserve">  CĐCS trực thuộc</w:t>
            </w:r>
            <w:r>
              <w:rPr>
                <w:sz w:val="22"/>
              </w:rPr>
              <w:t>;</w:t>
            </w:r>
          </w:p>
          <w:p w:rsidR="00AC6C83" w:rsidRPr="00423870" w:rsidRDefault="00AC6C83" w:rsidP="00446FB8">
            <w:pPr>
              <w:pStyle w:val="BodyTextIndent"/>
              <w:ind w:firstLine="0"/>
              <w:rPr>
                <w:rFonts w:ascii="Times New Roman" w:hAnsi="Times New Roman"/>
                <w:iCs/>
                <w:szCs w:val="24"/>
              </w:rPr>
            </w:pPr>
            <w:r>
              <w:rPr>
                <w:rFonts w:ascii="Times New Roman" w:hAnsi="Times New Roman"/>
                <w:iCs/>
                <w:sz w:val="22"/>
                <w:szCs w:val="24"/>
              </w:rPr>
              <w:t>- L</w:t>
            </w:r>
            <w:r>
              <w:rPr>
                <w:rFonts w:ascii="Times New Roman" w:hAnsi="Times New Roman"/>
                <w:iCs/>
                <w:sz w:val="22"/>
                <w:szCs w:val="24"/>
              </w:rPr>
              <w:softHyphen/>
              <w:t xml:space="preserve">ưu: VT, Ban TCTGNC </w:t>
            </w:r>
            <w:r w:rsidRPr="00423870">
              <w:rPr>
                <w:rFonts w:ascii="Times New Roman" w:hAnsi="Times New Roman"/>
                <w:iCs/>
                <w:sz w:val="22"/>
                <w:szCs w:val="24"/>
              </w:rPr>
              <w:t>(Ng).</w:t>
            </w:r>
          </w:p>
          <w:p w:rsidR="00AC6C83" w:rsidRPr="00423870" w:rsidRDefault="00AC6C83" w:rsidP="00446FB8">
            <w:pPr>
              <w:pStyle w:val="BodyTextIndent"/>
              <w:rPr>
                <w:szCs w:val="24"/>
              </w:rPr>
            </w:pPr>
          </w:p>
        </w:tc>
        <w:tc>
          <w:tcPr>
            <w:tcW w:w="4048" w:type="dxa"/>
          </w:tcPr>
          <w:p w:rsidR="00AC6C83" w:rsidRPr="00407CCC" w:rsidRDefault="00AC6C83" w:rsidP="00423870">
            <w:pPr>
              <w:pStyle w:val="BodyTextIndent"/>
              <w:jc w:val="center"/>
              <w:rPr>
                <w:rFonts w:ascii="Times New Roman" w:hAnsi="Times New Roman"/>
                <w:b/>
                <w:bCs/>
                <w:sz w:val="28"/>
                <w:szCs w:val="28"/>
              </w:rPr>
            </w:pPr>
            <w:r w:rsidRPr="00407CCC">
              <w:rPr>
                <w:rFonts w:ascii="Times New Roman" w:hAnsi="Times New Roman"/>
                <w:b/>
                <w:bCs/>
                <w:sz w:val="28"/>
                <w:szCs w:val="28"/>
              </w:rPr>
              <w:t>TM. BAN TH</w:t>
            </w:r>
            <w:r w:rsidRPr="00407CCC">
              <w:rPr>
                <w:rFonts w:ascii="Times New Roman" w:hAnsi="Times New Roman"/>
                <w:b/>
                <w:bCs/>
                <w:sz w:val="28"/>
                <w:szCs w:val="28"/>
              </w:rPr>
              <w:softHyphen/>
              <w:t>ƯỜNG VỤ</w:t>
            </w:r>
          </w:p>
          <w:p w:rsidR="00AC6C83" w:rsidRPr="00407CCC" w:rsidRDefault="00AC6C83" w:rsidP="00423870">
            <w:pPr>
              <w:pStyle w:val="BodyTextIndent"/>
              <w:jc w:val="center"/>
              <w:rPr>
                <w:rFonts w:ascii="Times New Roman" w:hAnsi="Times New Roman"/>
                <w:b/>
                <w:bCs/>
                <w:sz w:val="28"/>
                <w:szCs w:val="28"/>
              </w:rPr>
            </w:pPr>
            <w:r w:rsidRPr="00407CCC">
              <w:rPr>
                <w:rFonts w:ascii="Times New Roman" w:hAnsi="Times New Roman"/>
                <w:b/>
                <w:bCs/>
                <w:sz w:val="28"/>
                <w:szCs w:val="28"/>
              </w:rPr>
              <w:t>PHÓ CHỦ TỊCH</w:t>
            </w:r>
          </w:p>
          <w:p w:rsidR="00AC6C83" w:rsidRPr="00407CCC" w:rsidRDefault="00AC6C83" w:rsidP="00423870">
            <w:pPr>
              <w:pStyle w:val="BodyTextIndent"/>
              <w:jc w:val="center"/>
              <w:rPr>
                <w:rFonts w:ascii="Times New Roman" w:hAnsi="Times New Roman"/>
                <w:sz w:val="28"/>
                <w:szCs w:val="28"/>
              </w:rPr>
            </w:pPr>
          </w:p>
          <w:p w:rsidR="00AC6C83" w:rsidRPr="00407CCC" w:rsidRDefault="00AC6C83" w:rsidP="00423870">
            <w:pPr>
              <w:pStyle w:val="BodyTextIndent"/>
              <w:jc w:val="center"/>
              <w:rPr>
                <w:rFonts w:ascii="Times New Roman" w:hAnsi="Times New Roman"/>
                <w:sz w:val="28"/>
                <w:szCs w:val="28"/>
              </w:rPr>
            </w:pPr>
          </w:p>
          <w:p w:rsidR="00AC6C83" w:rsidRPr="00407CCC" w:rsidRDefault="00AC6C83" w:rsidP="00423870">
            <w:pPr>
              <w:pStyle w:val="BodyTextIndent"/>
              <w:jc w:val="center"/>
              <w:rPr>
                <w:rFonts w:ascii="Times New Roman" w:hAnsi="Times New Roman"/>
                <w:sz w:val="28"/>
                <w:szCs w:val="28"/>
              </w:rPr>
            </w:pPr>
            <w:r>
              <w:rPr>
                <w:rFonts w:ascii="Times New Roman" w:hAnsi="Times New Roman"/>
                <w:sz w:val="28"/>
                <w:szCs w:val="28"/>
              </w:rPr>
              <w:t>(Đã ký)</w:t>
            </w:r>
          </w:p>
          <w:p w:rsidR="00AC6C83" w:rsidRPr="00407CCC" w:rsidRDefault="00AC6C83" w:rsidP="00423870">
            <w:pPr>
              <w:pStyle w:val="BodyTextIndent"/>
              <w:jc w:val="center"/>
              <w:rPr>
                <w:rFonts w:ascii="Times New Roman" w:hAnsi="Times New Roman"/>
                <w:sz w:val="28"/>
                <w:szCs w:val="28"/>
              </w:rPr>
            </w:pPr>
          </w:p>
          <w:p w:rsidR="00AC6C83" w:rsidRPr="00407CCC" w:rsidRDefault="00AC6C83" w:rsidP="00423870">
            <w:pPr>
              <w:pStyle w:val="BodyTextIndent"/>
              <w:jc w:val="center"/>
              <w:rPr>
                <w:rFonts w:ascii="Times New Roman" w:hAnsi="Times New Roman"/>
                <w:b/>
                <w:bCs/>
                <w:sz w:val="28"/>
                <w:szCs w:val="28"/>
              </w:rPr>
            </w:pPr>
          </w:p>
          <w:p w:rsidR="00AC6C83" w:rsidRPr="006B612D" w:rsidRDefault="00AC6C83" w:rsidP="00423870">
            <w:pPr>
              <w:pStyle w:val="BodyTextIndent"/>
              <w:jc w:val="center"/>
              <w:rPr>
                <w:rFonts w:ascii="Times New Roman" w:hAnsi="Times New Roman"/>
                <w:b/>
                <w:bCs/>
                <w:sz w:val="28"/>
                <w:szCs w:val="28"/>
                <w:lang w:val="fr-FR"/>
              </w:rPr>
            </w:pPr>
            <w:r w:rsidRPr="006B612D">
              <w:rPr>
                <w:rFonts w:ascii="Times New Roman" w:hAnsi="Times New Roman"/>
                <w:b/>
                <w:bCs/>
                <w:sz w:val="28"/>
                <w:szCs w:val="28"/>
                <w:lang w:val="fr-FR"/>
              </w:rPr>
              <w:t>Trần Công Huân</w:t>
            </w:r>
          </w:p>
          <w:p w:rsidR="00AC6C83" w:rsidRPr="006B612D" w:rsidRDefault="00AC6C83" w:rsidP="00FD5C70">
            <w:pPr>
              <w:pStyle w:val="BodyTextIndent"/>
              <w:rPr>
                <w:rFonts w:ascii="Times New Roman" w:hAnsi="Times New Roman"/>
                <w:b/>
                <w:bCs/>
                <w:sz w:val="28"/>
                <w:szCs w:val="28"/>
                <w:lang w:val="fr-FR"/>
              </w:rPr>
            </w:pPr>
          </w:p>
        </w:tc>
      </w:tr>
    </w:tbl>
    <w:p w:rsidR="00AC6C83" w:rsidRPr="003D09DA" w:rsidRDefault="00AC6C83" w:rsidP="005E048C">
      <w:pPr>
        <w:jc w:val="both"/>
        <w:rPr>
          <w:sz w:val="28"/>
          <w:szCs w:val="28"/>
          <w:lang w:val="fr-FR"/>
        </w:rPr>
      </w:pPr>
    </w:p>
    <w:sectPr w:rsidR="00AC6C83" w:rsidRPr="003D09DA" w:rsidSect="0016484C">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83" w:rsidRDefault="00AC6C83" w:rsidP="00726518">
      <w:r>
        <w:separator/>
      </w:r>
    </w:p>
  </w:endnote>
  <w:endnote w:type="continuationSeparator" w:id="0">
    <w:p w:rsidR="00AC6C83" w:rsidRDefault="00AC6C83" w:rsidP="0072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83" w:rsidRDefault="00AC6C83" w:rsidP="00F72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C83" w:rsidRDefault="00AC6C83" w:rsidP="001260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83" w:rsidRDefault="00AC6C83" w:rsidP="00F72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6C83" w:rsidRDefault="00AC6C83" w:rsidP="0012602F">
    <w:pPr>
      <w:pStyle w:val="Footer"/>
      <w:ind w:right="360"/>
      <w:jc w:val="center"/>
    </w:pPr>
  </w:p>
  <w:p w:rsidR="00AC6C83" w:rsidRDefault="00AC6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83" w:rsidRDefault="00AC6C83" w:rsidP="00726518">
      <w:r>
        <w:separator/>
      </w:r>
    </w:p>
  </w:footnote>
  <w:footnote w:type="continuationSeparator" w:id="0">
    <w:p w:rsidR="00AC6C83" w:rsidRDefault="00AC6C83" w:rsidP="00726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EA5"/>
    <w:multiLevelType w:val="hybridMultilevel"/>
    <w:tmpl w:val="01403D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D7960"/>
    <w:multiLevelType w:val="hybridMultilevel"/>
    <w:tmpl w:val="83F4CF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2A289F"/>
    <w:multiLevelType w:val="hybridMultilevel"/>
    <w:tmpl w:val="F976D5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F01357"/>
    <w:multiLevelType w:val="hybridMultilevel"/>
    <w:tmpl w:val="8154D92E"/>
    <w:lvl w:ilvl="0" w:tplc="72DCC3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4E152D"/>
    <w:multiLevelType w:val="hybridMultilevel"/>
    <w:tmpl w:val="907A04F6"/>
    <w:lvl w:ilvl="0" w:tplc="B964B522">
      <w:start w:val="1"/>
      <w:numFmt w:val="decimal"/>
      <w:lvlText w:val="%1."/>
      <w:lvlJc w:val="left"/>
      <w:pPr>
        <w:ind w:left="1482" w:hanging="915"/>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1AAD04AD"/>
    <w:multiLevelType w:val="hybridMultilevel"/>
    <w:tmpl w:val="24A672DE"/>
    <w:lvl w:ilvl="0" w:tplc="94945F7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4AEB707F"/>
    <w:multiLevelType w:val="hybridMultilevel"/>
    <w:tmpl w:val="0C1280BA"/>
    <w:lvl w:ilvl="0" w:tplc="CB20406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5CA32C2B"/>
    <w:multiLevelType w:val="hybridMultilevel"/>
    <w:tmpl w:val="D22EEF42"/>
    <w:lvl w:ilvl="0" w:tplc="44060D3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96056C8"/>
    <w:multiLevelType w:val="hybridMultilevel"/>
    <w:tmpl w:val="9F1226DA"/>
    <w:lvl w:ilvl="0" w:tplc="E4E246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8"/>
  </w:num>
  <w:num w:numId="4">
    <w:abstractNumId w:val="4"/>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7E1"/>
    <w:rsid w:val="00002507"/>
    <w:rsid w:val="000215F8"/>
    <w:rsid w:val="000453C1"/>
    <w:rsid w:val="000801D4"/>
    <w:rsid w:val="00085BE0"/>
    <w:rsid w:val="000A5156"/>
    <w:rsid w:val="000C21EA"/>
    <w:rsid w:val="000D4E0B"/>
    <w:rsid w:val="000D7861"/>
    <w:rsid w:val="000F2AF0"/>
    <w:rsid w:val="00120526"/>
    <w:rsid w:val="001246D6"/>
    <w:rsid w:val="0012602F"/>
    <w:rsid w:val="00146613"/>
    <w:rsid w:val="0015426B"/>
    <w:rsid w:val="0015447D"/>
    <w:rsid w:val="001562ED"/>
    <w:rsid w:val="0015644F"/>
    <w:rsid w:val="001640D2"/>
    <w:rsid w:val="0016484C"/>
    <w:rsid w:val="00171640"/>
    <w:rsid w:val="00174159"/>
    <w:rsid w:val="001868DA"/>
    <w:rsid w:val="001869BB"/>
    <w:rsid w:val="00187611"/>
    <w:rsid w:val="001A44AE"/>
    <w:rsid w:val="001A7074"/>
    <w:rsid w:val="001A7F1E"/>
    <w:rsid w:val="001C7C0A"/>
    <w:rsid w:val="001E3F3A"/>
    <w:rsid w:val="001F199C"/>
    <w:rsid w:val="00216C03"/>
    <w:rsid w:val="002176FE"/>
    <w:rsid w:val="002644F3"/>
    <w:rsid w:val="002659BC"/>
    <w:rsid w:val="00285DDF"/>
    <w:rsid w:val="00286354"/>
    <w:rsid w:val="00286BE2"/>
    <w:rsid w:val="00292282"/>
    <w:rsid w:val="002A01E5"/>
    <w:rsid w:val="002C0667"/>
    <w:rsid w:val="002C4728"/>
    <w:rsid w:val="002D2752"/>
    <w:rsid w:val="002D51CB"/>
    <w:rsid w:val="002E0B38"/>
    <w:rsid w:val="002F1E55"/>
    <w:rsid w:val="00310D6D"/>
    <w:rsid w:val="0033019C"/>
    <w:rsid w:val="003370C6"/>
    <w:rsid w:val="00353176"/>
    <w:rsid w:val="00357CE7"/>
    <w:rsid w:val="003A3962"/>
    <w:rsid w:val="003C1132"/>
    <w:rsid w:val="003C4C2E"/>
    <w:rsid w:val="003D09DA"/>
    <w:rsid w:val="003E28F2"/>
    <w:rsid w:val="003E438A"/>
    <w:rsid w:val="003E6910"/>
    <w:rsid w:val="003F6481"/>
    <w:rsid w:val="00407CCC"/>
    <w:rsid w:val="004143B8"/>
    <w:rsid w:val="00416815"/>
    <w:rsid w:val="00423870"/>
    <w:rsid w:val="00431D86"/>
    <w:rsid w:val="004361C1"/>
    <w:rsid w:val="00446B49"/>
    <w:rsid w:val="00446FB8"/>
    <w:rsid w:val="00463D6C"/>
    <w:rsid w:val="00464367"/>
    <w:rsid w:val="00464DFA"/>
    <w:rsid w:val="0046576A"/>
    <w:rsid w:val="0049515D"/>
    <w:rsid w:val="004A5683"/>
    <w:rsid w:val="004B5F0F"/>
    <w:rsid w:val="004C02DE"/>
    <w:rsid w:val="004D7DB5"/>
    <w:rsid w:val="004E2152"/>
    <w:rsid w:val="004E6522"/>
    <w:rsid w:val="004F48D1"/>
    <w:rsid w:val="004F68DA"/>
    <w:rsid w:val="00510318"/>
    <w:rsid w:val="00514753"/>
    <w:rsid w:val="005240F4"/>
    <w:rsid w:val="00533371"/>
    <w:rsid w:val="005423DE"/>
    <w:rsid w:val="005665C6"/>
    <w:rsid w:val="00574CF2"/>
    <w:rsid w:val="005A7B2A"/>
    <w:rsid w:val="005E048C"/>
    <w:rsid w:val="006034EF"/>
    <w:rsid w:val="006130F2"/>
    <w:rsid w:val="00614843"/>
    <w:rsid w:val="00644589"/>
    <w:rsid w:val="00666FA6"/>
    <w:rsid w:val="006916D8"/>
    <w:rsid w:val="006A2648"/>
    <w:rsid w:val="006B28D9"/>
    <w:rsid w:val="006B5C47"/>
    <w:rsid w:val="006B612D"/>
    <w:rsid w:val="006B7E64"/>
    <w:rsid w:val="006C284C"/>
    <w:rsid w:val="006C3962"/>
    <w:rsid w:val="006D4C59"/>
    <w:rsid w:val="006E3FAA"/>
    <w:rsid w:val="006E7E6E"/>
    <w:rsid w:val="006F4B52"/>
    <w:rsid w:val="007156EB"/>
    <w:rsid w:val="00721322"/>
    <w:rsid w:val="00722FD5"/>
    <w:rsid w:val="00726518"/>
    <w:rsid w:val="007274A4"/>
    <w:rsid w:val="007357EF"/>
    <w:rsid w:val="00736144"/>
    <w:rsid w:val="00740211"/>
    <w:rsid w:val="00745ECB"/>
    <w:rsid w:val="00756B43"/>
    <w:rsid w:val="00756C35"/>
    <w:rsid w:val="00761D2F"/>
    <w:rsid w:val="007729ED"/>
    <w:rsid w:val="00772DBD"/>
    <w:rsid w:val="007733B0"/>
    <w:rsid w:val="007A3833"/>
    <w:rsid w:val="007C2B1E"/>
    <w:rsid w:val="007D431C"/>
    <w:rsid w:val="007F5355"/>
    <w:rsid w:val="00802C0F"/>
    <w:rsid w:val="008226AE"/>
    <w:rsid w:val="0085377D"/>
    <w:rsid w:val="008769C8"/>
    <w:rsid w:val="00876C12"/>
    <w:rsid w:val="00887D8A"/>
    <w:rsid w:val="00891EE9"/>
    <w:rsid w:val="008A042A"/>
    <w:rsid w:val="008A1B7E"/>
    <w:rsid w:val="008B2C94"/>
    <w:rsid w:val="008D6F87"/>
    <w:rsid w:val="0091782D"/>
    <w:rsid w:val="00927FA2"/>
    <w:rsid w:val="00981014"/>
    <w:rsid w:val="0098540D"/>
    <w:rsid w:val="009942DB"/>
    <w:rsid w:val="00997C6E"/>
    <w:rsid w:val="009A57DB"/>
    <w:rsid w:val="009B1F00"/>
    <w:rsid w:val="009B4F8D"/>
    <w:rsid w:val="009D358A"/>
    <w:rsid w:val="00A36BFB"/>
    <w:rsid w:val="00A37640"/>
    <w:rsid w:val="00A61892"/>
    <w:rsid w:val="00A630D5"/>
    <w:rsid w:val="00A665D9"/>
    <w:rsid w:val="00A90F6C"/>
    <w:rsid w:val="00A9457C"/>
    <w:rsid w:val="00A97D7C"/>
    <w:rsid w:val="00AB24B1"/>
    <w:rsid w:val="00AB3B15"/>
    <w:rsid w:val="00AB5151"/>
    <w:rsid w:val="00AC1765"/>
    <w:rsid w:val="00AC6C83"/>
    <w:rsid w:val="00AD07E1"/>
    <w:rsid w:val="00AE0811"/>
    <w:rsid w:val="00AF0541"/>
    <w:rsid w:val="00AF724E"/>
    <w:rsid w:val="00B36B63"/>
    <w:rsid w:val="00B4000D"/>
    <w:rsid w:val="00B619AE"/>
    <w:rsid w:val="00B93866"/>
    <w:rsid w:val="00BA5C70"/>
    <w:rsid w:val="00BB76F9"/>
    <w:rsid w:val="00BF2A11"/>
    <w:rsid w:val="00BF4221"/>
    <w:rsid w:val="00C07ABF"/>
    <w:rsid w:val="00C349D2"/>
    <w:rsid w:val="00C62767"/>
    <w:rsid w:val="00C725B0"/>
    <w:rsid w:val="00CA64BE"/>
    <w:rsid w:val="00CB2C82"/>
    <w:rsid w:val="00CC4A44"/>
    <w:rsid w:val="00CD4A31"/>
    <w:rsid w:val="00D23298"/>
    <w:rsid w:val="00D2575D"/>
    <w:rsid w:val="00D320B3"/>
    <w:rsid w:val="00D32BF0"/>
    <w:rsid w:val="00D53B0D"/>
    <w:rsid w:val="00D66F65"/>
    <w:rsid w:val="00D870D4"/>
    <w:rsid w:val="00D92B1A"/>
    <w:rsid w:val="00DA32CD"/>
    <w:rsid w:val="00DA7787"/>
    <w:rsid w:val="00DC2669"/>
    <w:rsid w:val="00DD5FFE"/>
    <w:rsid w:val="00DE293F"/>
    <w:rsid w:val="00DE7B82"/>
    <w:rsid w:val="00DF3A1E"/>
    <w:rsid w:val="00E038EB"/>
    <w:rsid w:val="00E227A3"/>
    <w:rsid w:val="00E36C4E"/>
    <w:rsid w:val="00E4794F"/>
    <w:rsid w:val="00E47DD3"/>
    <w:rsid w:val="00E5361B"/>
    <w:rsid w:val="00E5797F"/>
    <w:rsid w:val="00E84670"/>
    <w:rsid w:val="00E87948"/>
    <w:rsid w:val="00E9090A"/>
    <w:rsid w:val="00E96B9B"/>
    <w:rsid w:val="00EC20A2"/>
    <w:rsid w:val="00EC792E"/>
    <w:rsid w:val="00F36999"/>
    <w:rsid w:val="00F53577"/>
    <w:rsid w:val="00F64CB0"/>
    <w:rsid w:val="00F71E87"/>
    <w:rsid w:val="00F723F4"/>
    <w:rsid w:val="00F72D2A"/>
    <w:rsid w:val="00F94F42"/>
    <w:rsid w:val="00F96E46"/>
    <w:rsid w:val="00FA643A"/>
    <w:rsid w:val="00FB0346"/>
    <w:rsid w:val="00FB08BC"/>
    <w:rsid w:val="00FB25F5"/>
    <w:rsid w:val="00FB4F27"/>
    <w:rsid w:val="00FB5567"/>
    <w:rsid w:val="00FB7CC4"/>
    <w:rsid w:val="00FC56E1"/>
    <w:rsid w:val="00FD5C70"/>
    <w:rsid w:val="00FE14F8"/>
    <w:rsid w:val="00FE5D56"/>
    <w:rsid w:val="00FE7611"/>
    <w:rsid w:val="00FF59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E1"/>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65D9"/>
    <w:pPr>
      <w:ind w:left="720"/>
      <w:contextualSpacing/>
    </w:pPr>
  </w:style>
  <w:style w:type="paragraph" w:styleId="Header">
    <w:name w:val="header"/>
    <w:basedOn w:val="Normal"/>
    <w:link w:val="HeaderChar"/>
    <w:uiPriority w:val="99"/>
    <w:rsid w:val="00726518"/>
    <w:pPr>
      <w:tabs>
        <w:tab w:val="center" w:pos="4680"/>
        <w:tab w:val="right" w:pos="9360"/>
      </w:tabs>
    </w:pPr>
  </w:style>
  <w:style w:type="character" w:customStyle="1" w:styleId="HeaderChar">
    <w:name w:val="Header Char"/>
    <w:basedOn w:val="DefaultParagraphFont"/>
    <w:link w:val="Header"/>
    <w:uiPriority w:val="99"/>
    <w:locked/>
    <w:rsid w:val="00726518"/>
    <w:rPr>
      <w:rFonts w:eastAsia="Times New Roman" w:cs="Times New Roman"/>
      <w:sz w:val="24"/>
      <w:szCs w:val="24"/>
    </w:rPr>
  </w:style>
  <w:style w:type="paragraph" w:styleId="Footer">
    <w:name w:val="footer"/>
    <w:basedOn w:val="Normal"/>
    <w:link w:val="FooterChar"/>
    <w:uiPriority w:val="99"/>
    <w:rsid w:val="00726518"/>
    <w:pPr>
      <w:tabs>
        <w:tab w:val="center" w:pos="4680"/>
        <w:tab w:val="right" w:pos="9360"/>
      </w:tabs>
    </w:pPr>
  </w:style>
  <w:style w:type="character" w:customStyle="1" w:styleId="FooterChar">
    <w:name w:val="Footer Char"/>
    <w:basedOn w:val="DefaultParagraphFont"/>
    <w:link w:val="Footer"/>
    <w:uiPriority w:val="99"/>
    <w:locked/>
    <w:rsid w:val="00726518"/>
    <w:rPr>
      <w:rFonts w:eastAsia="Times New Roman" w:cs="Times New Roman"/>
      <w:sz w:val="24"/>
      <w:szCs w:val="24"/>
    </w:rPr>
  </w:style>
  <w:style w:type="character" w:customStyle="1" w:styleId="BodyTextIndentChar1">
    <w:name w:val="Body Text Indent Char1"/>
    <w:uiPriority w:val="99"/>
    <w:locked/>
    <w:rsid w:val="004E6522"/>
    <w:rPr>
      <w:rFonts w:ascii=".VnTime" w:hAnsi=".VnTime"/>
      <w:sz w:val="24"/>
      <w:lang w:val="en-US" w:eastAsia="en-US"/>
    </w:rPr>
  </w:style>
  <w:style w:type="paragraph" w:styleId="BodyTextIndent">
    <w:name w:val="Body Text Indent"/>
    <w:basedOn w:val="Normal"/>
    <w:link w:val="BodyTextIndentChar"/>
    <w:uiPriority w:val="99"/>
    <w:rsid w:val="004E6522"/>
    <w:pPr>
      <w:ind w:firstLine="720"/>
      <w:jc w:val="both"/>
    </w:pPr>
    <w:rPr>
      <w:rFonts w:ascii=".VnTime" w:eastAsia="Calibri" w:hAnsi=".VnTime"/>
      <w:szCs w:val="20"/>
    </w:rPr>
  </w:style>
  <w:style w:type="character" w:customStyle="1" w:styleId="BodyTextIndentChar">
    <w:name w:val="Body Text Indent Char"/>
    <w:basedOn w:val="DefaultParagraphFont"/>
    <w:link w:val="BodyTextIndent"/>
    <w:uiPriority w:val="99"/>
    <w:semiHidden/>
    <w:locked/>
    <w:rsid w:val="00E84670"/>
    <w:rPr>
      <w:rFonts w:eastAsia="Times New Roman" w:cs="Times New Roman"/>
      <w:sz w:val="24"/>
      <w:szCs w:val="24"/>
    </w:rPr>
  </w:style>
  <w:style w:type="paragraph" w:styleId="NormalWeb">
    <w:name w:val="Normal (Web)"/>
    <w:basedOn w:val="Normal"/>
    <w:uiPriority w:val="99"/>
    <w:rsid w:val="001F199C"/>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1F199C"/>
    <w:rPr>
      <w:rFonts w:cs="Times New Roman"/>
    </w:rPr>
  </w:style>
  <w:style w:type="character" w:styleId="Strong">
    <w:name w:val="Strong"/>
    <w:basedOn w:val="DefaultParagraphFont"/>
    <w:uiPriority w:val="99"/>
    <w:qFormat/>
    <w:locked/>
    <w:rsid w:val="001F199C"/>
    <w:rPr>
      <w:rFonts w:cs="Times New Roman"/>
      <w:b/>
      <w:bCs/>
    </w:rPr>
  </w:style>
  <w:style w:type="character" w:styleId="PageNumber">
    <w:name w:val="page number"/>
    <w:basedOn w:val="DefaultParagraphFont"/>
    <w:uiPriority w:val="99"/>
    <w:rsid w:val="0012602F"/>
    <w:rPr>
      <w:rFonts w:cs="Times New Roman"/>
    </w:rPr>
  </w:style>
</w:styles>
</file>

<file path=word/webSettings.xml><?xml version="1.0" encoding="utf-8"?>
<w:webSettings xmlns:r="http://schemas.openxmlformats.org/officeDocument/2006/relationships" xmlns:w="http://schemas.openxmlformats.org/wordprocessingml/2006/main">
  <w:divs>
    <w:div w:id="10308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3</Pages>
  <Words>985</Words>
  <Characters>5617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Admin</dc:creator>
  <cp:keywords/>
  <dc:description/>
  <cp:lastModifiedBy>Thanh An</cp:lastModifiedBy>
  <cp:revision>8</cp:revision>
  <cp:lastPrinted>2019-09-03T02:51:00Z</cp:lastPrinted>
  <dcterms:created xsi:type="dcterms:W3CDTF">2019-09-25T04:20:00Z</dcterms:created>
  <dcterms:modified xsi:type="dcterms:W3CDTF">2019-10-04T08:13:00Z</dcterms:modified>
</cp:coreProperties>
</file>